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UNIVERZITET U SARAJEVU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ORIJENTALNI INSTITUT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KOMISIJA ZA IZBOR U NAUČNO ZVANJE NAUČNI SARADNIK 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OBLAST ARABISTIKA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highlight w:val="yellow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NAUČNOM VIJEĆU ORIJENTALNOG INSTITUTA U SARAJEVU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Naučno vijeće Orijentalnog instituta u Sarajevu svojom odlukom br. 02-647/18 od 07.11.2018. godine imenovalo je Komisiju za izbor u naučno zvanje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naučni saradnik za oblast Arabistika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na Orijentalnom institutu u Sarajevu. </w:t>
      </w:r>
    </w:p>
    <w:p w:rsidR="00DE7FD3" w:rsidRPr="00DE7FD3" w:rsidRDefault="00DE7FD3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Komisiju sačinjavaju sljedeći članovi:</w:t>
      </w:r>
    </w:p>
    <w:p w:rsidR="0078088E" w:rsidRPr="00DE7FD3" w:rsidRDefault="0078088E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</w:t>
      </w:r>
    </w:p>
    <w:p w:rsidR="0078088E" w:rsidRPr="00DE7FD3" w:rsidRDefault="0078088E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 1. Prof. dr. Munir Mujić, vanredni profesor - oblast Arabistika, Univerzitet u Sarajevu,</w:t>
      </w:r>
    </w:p>
    <w:p w:rsidR="0078088E" w:rsidRPr="00DE7FD3" w:rsidRDefault="0078088E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 </w:t>
      </w:r>
      <w:r w:rsidR="00686749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>Filozofski fakultet, predsjednik;</w:t>
      </w:r>
    </w:p>
    <w:p w:rsidR="0078088E" w:rsidRPr="00DE7FD3" w:rsidRDefault="0078088E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</w:t>
      </w:r>
    </w:p>
    <w:p w:rsidR="00DE7FD3" w:rsidRDefault="00C510EE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 </w:t>
      </w:r>
      <w:r w:rsidR="0078088E" w:rsidRPr="00DE7FD3">
        <w:rPr>
          <w:rFonts w:asciiTheme="majorBidi" w:hAnsiTheme="majorBidi" w:cstheme="majorBidi"/>
          <w:sz w:val="24"/>
          <w:szCs w:val="24"/>
          <w:lang w:val="bs-Latn-BA"/>
        </w:rPr>
        <w:t>2. Dr. sc. Dželila Babović, naučni saradnik - oblast Arapska književnost, Univerzitet u</w:t>
      </w:r>
    </w:p>
    <w:p w:rsidR="0078088E" w:rsidRPr="00DE7FD3" w:rsidRDefault="00DE7FD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 xml:space="preserve">              </w:t>
      </w:r>
      <w:r w:rsidR="0078088E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Sarajevu, </w:t>
      </w:r>
      <w:r w:rsidR="0078088E" w:rsidRPr="00DE7FD3">
        <w:rPr>
          <w:rFonts w:asciiTheme="majorBidi" w:hAnsiTheme="majorBidi" w:cstheme="majorBidi"/>
          <w:sz w:val="24"/>
          <w:szCs w:val="24"/>
          <w:lang w:val="bs-Latn-BA"/>
        </w:rPr>
        <w:t>Orijentalni institut, član;</w:t>
      </w:r>
    </w:p>
    <w:p w:rsidR="0078088E" w:rsidRPr="00DE7FD3" w:rsidRDefault="0078088E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DE7FD3" w:rsidRDefault="00686749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 3.</w:t>
      </w:r>
      <w:r w:rsidR="0078088E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Dr. sc. Berin Bajrić, naučni saradnik - oblast Arapska književnost, Univerzitet u</w:t>
      </w:r>
    </w:p>
    <w:p w:rsidR="0078088E" w:rsidRPr="00DE7FD3" w:rsidRDefault="00DE7FD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 xml:space="preserve">                Sarajevu, </w:t>
      </w:r>
      <w:r w:rsidR="0078088E" w:rsidRPr="00DE7FD3">
        <w:rPr>
          <w:rFonts w:asciiTheme="majorBidi" w:hAnsiTheme="majorBidi" w:cstheme="majorBidi"/>
          <w:sz w:val="24"/>
          <w:szCs w:val="24"/>
          <w:lang w:val="bs-Latn-BA"/>
        </w:rPr>
        <w:t>Orijentalni institut, član.</w:t>
      </w:r>
    </w:p>
    <w:p w:rsidR="0078088E" w:rsidRPr="00DE7FD3" w:rsidRDefault="0078088E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Default="0078088E" w:rsidP="000B302F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Konkurs za naučno zvanje </w:t>
      </w:r>
      <w:r w:rsidRPr="00DE7FD3">
        <w:rPr>
          <w:rFonts w:asciiTheme="majorBidi" w:hAnsiTheme="majorBidi" w:cstheme="majorBidi"/>
          <w:i/>
          <w:iCs/>
          <w:sz w:val="24"/>
          <w:szCs w:val="24"/>
          <w:lang w:val="bs-Latn-BA"/>
        </w:rPr>
        <w:t>naučni saradnik za oblast Arabistika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objavljen je 9.11.2018. godine u dnevnom listu </w:t>
      </w:r>
      <w:r w:rsidRPr="00DE7FD3">
        <w:rPr>
          <w:rFonts w:asciiTheme="majorBidi" w:hAnsiTheme="majorBidi" w:cstheme="majorBidi"/>
          <w:i/>
          <w:iCs/>
          <w:sz w:val="24"/>
          <w:szCs w:val="24"/>
          <w:lang w:val="bs-Latn-BA"/>
        </w:rPr>
        <w:t>Dnevni avaz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i na WEB – stranici Orijentalnog instituta u Sarajevu. Na ovaj konkurs prijavila se samo dr. sc. Dženita Karić, viša stručna saradnica na Ori</w:t>
      </w:r>
      <w:r w:rsidR="000B302F">
        <w:rPr>
          <w:rFonts w:asciiTheme="majorBidi" w:hAnsiTheme="majorBidi" w:cstheme="majorBidi"/>
          <w:sz w:val="24"/>
          <w:szCs w:val="24"/>
          <w:lang w:val="bs-Latn-BA"/>
        </w:rPr>
        <w:t xml:space="preserve">jentalnom institutu u Sarajevu. 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Prijava je blagovremena a dostavljena dokumentacija je potpuna. </w:t>
      </w:r>
    </w:p>
    <w:p w:rsidR="000B302F" w:rsidRPr="00DE7FD3" w:rsidRDefault="000B302F" w:rsidP="000B302F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78088E" w:rsidP="003D6E72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Na osnovu uvida u prijavu i dokumentaciju koju je </w:t>
      </w:r>
      <w:r w:rsidR="000B302F">
        <w:rPr>
          <w:rFonts w:asciiTheme="majorBidi" w:hAnsiTheme="majorBidi" w:cstheme="majorBidi"/>
          <w:sz w:val="24"/>
          <w:szCs w:val="24"/>
          <w:lang w:val="bs-Latn-BA"/>
        </w:rPr>
        <w:t>dr. Dženita Karić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dostavila Komisija podnosi Naučnom vijeću Orijentalnog</w:t>
      </w:r>
      <w:r w:rsidR="003D6E72">
        <w:rPr>
          <w:rFonts w:asciiTheme="majorBidi" w:hAnsiTheme="majorBidi" w:cstheme="majorBidi"/>
          <w:sz w:val="24"/>
          <w:szCs w:val="24"/>
          <w:lang w:val="bs-Latn-BA"/>
        </w:rPr>
        <w:t xml:space="preserve"> instituta u Sarajevu sljedeći </w:t>
      </w:r>
    </w:p>
    <w:p w:rsidR="0078088E" w:rsidRPr="00DE7FD3" w:rsidRDefault="0078088E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686749" w:rsidP="00DE7FD3">
      <w:pPr>
        <w:tabs>
          <w:tab w:val="left" w:pos="6874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ab/>
      </w:r>
    </w:p>
    <w:p w:rsidR="0078088E" w:rsidRPr="00DE7FD3" w:rsidRDefault="0078088E" w:rsidP="00DE7FD3">
      <w:pPr>
        <w:tabs>
          <w:tab w:val="left" w:pos="709"/>
        </w:tabs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I</w:t>
      </w:r>
      <w:r w:rsidR="000B302F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Z</w:t>
      </w:r>
      <w:r w:rsidR="000B302F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V</w:t>
      </w:r>
      <w:r w:rsidR="000B302F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J</w:t>
      </w:r>
      <w:r w:rsidR="000B302F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E</w:t>
      </w:r>
      <w:r w:rsidR="000B302F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Š</w:t>
      </w:r>
      <w:r w:rsidR="000B302F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T</w:t>
      </w:r>
      <w:r w:rsidR="000B302F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A</w:t>
      </w:r>
      <w:r w:rsidR="000B302F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b/>
          <w:bCs/>
          <w:sz w:val="24"/>
          <w:szCs w:val="24"/>
          <w:lang w:val="bs-Latn-BA"/>
        </w:rPr>
        <w:t>J</w:t>
      </w:r>
    </w:p>
    <w:p w:rsidR="0078088E" w:rsidRDefault="0078088E" w:rsidP="003D6E72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</w:p>
    <w:p w:rsidR="003D6E72" w:rsidRPr="00DE7FD3" w:rsidRDefault="003D6E72" w:rsidP="003D6E72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BIOGRAFSKI PODACI</w:t>
      </w:r>
    </w:p>
    <w:p w:rsidR="000B302F" w:rsidRPr="00DE7FD3" w:rsidRDefault="000B302F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Dr. Dženita Karić rođena je 13. juna 1986. godine u Sarajevu, gdje je završila osnovnu i srednju školu. Na Filozofskom fakultetu u Sarajevu studirala je na Odsjeku za orijentalnu filologiju i na Odsjeku za Anglistiku. Diplomirala je 2008. godine, čime je stekla diplomu </w:t>
      </w:r>
      <w:r w:rsidRPr="00DE7FD3">
        <w:rPr>
          <w:rFonts w:asciiTheme="majorBidi" w:hAnsiTheme="majorBidi" w:cstheme="majorBidi"/>
          <w:i/>
          <w:iCs/>
          <w:sz w:val="24"/>
          <w:szCs w:val="24"/>
          <w:lang w:val="bs-Latn-BA"/>
        </w:rPr>
        <w:t>profesora arapskog jezika i književnosti i profesora engleskog jezika i književosti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:rsidR="000B302F" w:rsidRPr="00DE7FD3" w:rsidRDefault="000B302F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0B302F" w:rsidRDefault="0078088E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Dženita Karić upisala se 2008. godine na postdiplomski studij iz književnohistorijskih nauka na Filozofskom fakultetu u Sarajevu i uspješno ga okončala odbranom</w:t>
      </w:r>
      <w:r w:rsidR="003D6E72">
        <w:rPr>
          <w:rFonts w:asciiTheme="majorBidi" w:hAnsiTheme="majorBidi" w:cstheme="majorBidi"/>
          <w:sz w:val="24"/>
          <w:szCs w:val="24"/>
          <w:lang w:val="bs-Latn-BA"/>
        </w:rPr>
        <w:t xml:space="preserve"> magistarskog rada pod naslovom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Palestinski postkolonijalni roman i novela u dje</w:t>
      </w:r>
      <w:r w:rsidR="00C510E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lima Džebre Ibrahima Džebre i G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assana Kanafanija. </w:t>
      </w:r>
    </w:p>
    <w:p w:rsidR="000B302F" w:rsidRDefault="000B302F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</w:pPr>
    </w:p>
    <w:p w:rsidR="000B302F" w:rsidRDefault="00E12593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Od 2014 do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2018. godine pohađala je doktorski studij na School of Oriental and African Studies - SOAS, University of London, gdje je 2018. godine odbranila doktorsku disertaciju pod naslovom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Multiple paths to the holy: Continuity and Change in Bosnian Hajj literature.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  </w:t>
      </w:r>
    </w:p>
    <w:p w:rsidR="0078088E" w:rsidRPr="00DE7FD3" w:rsidRDefault="0078088E" w:rsidP="00DE7FD3">
      <w:pPr>
        <w:pStyle w:val="BodyText"/>
        <w:kinsoku w:val="0"/>
        <w:overflowPunct w:val="0"/>
        <w:spacing w:after="0" w:line="276" w:lineRule="auto"/>
        <w:ind w:right="10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Od novembra 2011. do avgusta 2012. godine boravila je na Univerzitetu u Kuvajtu na specija</w:t>
      </w:r>
      <w:r w:rsidR="003D6E72">
        <w:rPr>
          <w:rFonts w:asciiTheme="majorBidi" w:eastAsia="Times New Roman" w:hAnsiTheme="majorBidi" w:cstheme="majorBidi"/>
          <w:sz w:val="24"/>
          <w:szCs w:val="24"/>
          <w:lang w:eastAsia="hr-HR"/>
        </w:rPr>
        <w:t>lizaciji iz arapskog jezika. G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odine 2013. boravila je na Yunus</w:t>
      </w:r>
      <w:r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Emre</w:t>
      </w:r>
      <w:r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Institutu</w:t>
      </w:r>
      <w:r w:rsidRPr="00DE7FD3">
        <w:rPr>
          <w:rFonts w:asciiTheme="majorBidi" w:eastAsia="Times New Roman" w:hAnsiTheme="majorBidi" w:cstheme="majorBidi"/>
          <w:spacing w:val="-10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u</w:t>
      </w:r>
      <w:r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Ankari na tromjesečnoj specijalizaciji iz savremenog turskog i osmanskog jezika. </w:t>
      </w:r>
      <w:r w:rsidR="00C510E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U periodu juli-avgust 2015. pohađala je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Ottoman Turkish language summer school, Ottoman Studies Foundation, Cunda, Turska.</w:t>
      </w:r>
      <w:r w:rsidR="00E1259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C510E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U toku septembra 2016. godine pohađala je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The London Summer School in Intellectual History, Queen Mary University of London (QMUL) i University College London (UCL), London.</w:t>
      </w:r>
    </w:p>
    <w:p w:rsidR="00E12593" w:rsidRPr="00DE7FD3" w:rsidRDefault="00E12593" w:rsidP="00DE7FD3">
      <w:pPr>
        <w:pStyle w:val="BodyText"/>
        <w:kinsoku w:val="0"/>
        <w:overflowPunct w:val="0"/>
        <w:spacing w:after="0" w:line="276" w:lineRule="auto"/>
        <w:ind w:right="10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U maju 2009. godine zasnovala je radni odnos na orijentalnom institutu u Sarajevu u statusu pripravnice. Godine 2010. izabrana je za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višeg stručnog saradnika – arabistu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na Orijentalnom institutu u Sarajevu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,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a 2014. godine ponovno je izabrana za 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višeg stručnog saradnika – arabistu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na Orijentalnom institutu u Sarajevu i na tome mjestu radi i danas. </w:t>
      </w:r>
    </w:p>
    <w:p w:rsidR="000B302F" w:rsidRPr="00DE7FD3" w:rsidRDefault="000B302F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Tokom 2015. i 2016. godine boravila je kao gostujući istraživač na Univerzitetu Šehir u Istanbulu (Center for Urban Studies).</w:t>
      </w:r>
      <w:r w:rsidR="00E1259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Proljetni semestar 2017. godine provela je kao</w:t>
      </w:r>
      <w:r w:rsidR="00E1259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asistent na predmetu „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Women and Gender in Medieval Islam’’ (druga godina, dodiplomski studij) na Queen Mary University of London, Department of History.</w:t>
      </w:r>
    </w:p>
    <w:p w:rsidR="0078088E" w:rsidRPr="00DE7FD3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4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F549D7" w:rsidRDefault="00F549D7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4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C5752" w:rsidRPr="00DE7FD3" w:rsidRDefault="008C5752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4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F549D7" w:rsidRPr="00DE7FD3" w:rsidRDefault="00F549D7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4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Pr="00DE7FD3" w:rsidRDefault="000B302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4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NAUČNI I STRUČNI RAD KANDIDATKINJE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A1024" w:rsidRDefault="0078088E" w:rsidP="003D6E72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Dr. Dže</w:t>
      </w:r>
      <w:r w:rsidR="00EA1024">
        <w:rPr>
          <w:rFonts w:asciiTheme="majorBidi" w:hAnsiTheme="majorBidi" w:cstheme="majorBidi"/>
          <w:sz w:val="24"/>
          <w:szCs w:val="24"/>
          <w:lang w:val="bs-Latn-BA"/>
        </w:rPr>
        <w:t>nita Karić je kroz dosadašnje naučne i stručne radove pokazala da se radi o arabistkinji koja se na relevantan način bavi arabističkim temama iz različitih aspekata.</w:t>
      </w:r>
      <w:r w:rsidR="003D6E72">
        <w:rPr>
          <w:rFonts w:asciiTheme="majorBidi" w:hAnsiTheme="majorBidi" w:cstheme="majorBidi"/>
          <w:sz w:val="24"/>
          <w:szCs w:val="24"/>
          <w:lang w:val="bs-Latn-BA"/>
        </w:rPr>
        <w:t xml:space="preserve"> Objavila je jednu knjigu, više naučnih radova, enciklopedijskih odrednica, prikaza i prijevoda. Učestvovala je na više naučnih konferencija. </w:t>
      </w:r>
    </w:p>
    <w:p w:rsidR="000B302F" w:rsidRPr="00DE7FD3" w:rsidRDefault="000B302F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C510EE" w:rsidRDefault="00C510EE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</w:pPr>
      <w:r w:rsidRPr="003D6E72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>Knjiga</w:t>
      </w:r>
    </w:p>
    <w:p w:rsidR="008C5752" w:rsidRPr="003D6E72" w:rsidRDefault="008C5752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</w:pPr>
    </w:p>
    <w:p w:rsidR="00C510EE" w:rsidRPr="00DE7FD3" w:rsidRDefault="00BF0873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Dženita Karić objavila je knjigu </w:t>
      </w:r>
      <w:r w:rsidRPr="00DE7FD3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Palestinski postkolonijalni roman i novela u djelima Ğabre ’Ibrāhīma Ğabre i Ġassāna Kanafānija, 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>Sarajevo, Orijentalni institut u Sarajevu, Posebna izdanja XXXVI, 2011.</w:t>
      </w:r>
    </w:p>
    <w:p w:rsidR="00F3023A" w:rsidRPr="00DE7FD3" w:rsidRDefault="009F4A87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lastRenderedPageBreak/>
        <w:t>Autorica na početku osvjetljava mjesto postkolonijalnog palestinskog romana i novele u razvojnom toku arapske umjetničke kn</w:t>
      </w:r>
      <w:r w:rsidR="002B5EFC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jiževnosti i pokazuje da se </w:t>
      </w:r>
      <w:r w:rsidR="00E12593" w:rsidRPr="00DE7FD3">
        <w:rPr>
          <w:rFonts w:asciiTheme="majorBidi" w:hAnsiTheme="majorBidi" w:cstheme="majorBidi"/>
          <w:sz w:val="24"/>
          <w:szCs w:val="24"/>
          <w:lang w:val="bs-Latn-BA"/>
        </w:rPr>
        <w:t>palestinski postkolonijalni roman i novela</w:t>
      </w:r>
      <w:r w:rsidR="002B5EFC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javljaju unutar jedne književnosti koja je</w:t>
      </w:r>
      <w:r w:rsidR="00E12593" w:rsidRPr="00DE7FD3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="002B5EFC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za razliku od književnosti u ostatku arapskoga svijeta</w:t>
      </w:r>
      <w:r w:rsidR="00E12593" w:rsidRPr="00DE7FD3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="002B5EFC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naglašeno politička. U prozi Gassana Kanafanija autorica uočava važne karakteristike koje predstavljau raskid sa tradicionalnim književnim postupcima</w:t>
      </w:r>
      <w:r w:rsidR="008C550A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, </w:t>
      </w:r>
      <w:r w:rsidR="00E12593" w:rsidRPr="00DE7FD3">
        <w:rPr>
          <w:rFonts w:asciiTheme="majorBidi" w:hAnsiTheme="majorBidi" w:cstheme="majorBidi"/>
          <w:sz w:val="24"/>
          <w:szCs w:val="24"/>
          <w:lang w:val="bs-Latn-BA"/>
        </w:rPr>
        <w:t>prije svega, s</w:t>
      </w:r>
      <w:r w:rsidR="008C550A" w:rsidRPr="00DE7FD3">
        <w:rPr>
          <w:rFonts w:asciiTheme="majorBidi" w:hAnsiTheme="majorBidi" w:cstheme="majorBidi"/>
          <w:sz w:val="24"/>
          <w:szCs w:val="24"/>
          <w:lang w:val="bs-Latn-BA"/>
        </w:rPr>
        <w:t>liku o sebi</w:t>
      </w:r>
      <w:r w:rsidR="00E12593" w:rsidRPr="00DE7FD3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="008C550A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koja se kreće od izgubljenosti ka odlučnosti, zatim razvoj slike o Drugome koji više nije nepoznat, već ga se nastoji upoznati</w:t>
      </w:r>
      <w:r w:rsidR="00E12593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, potom ukazuje na </w:t>
      </w:r>
      <w:r w:rsidR="008C550A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tendencije da se ono što se tradicionalno posmatra kao margina </w:t>
      </w:r>
      <w:r w:rsidR="00E12593" w:rsidRPr="00DE7FD3">
        <w:rPr>
          <w:rFonts w:asciiTheme="majorBidi" w:hAnsiTheme="majorBidi" w:cstheme="majorBidi"/>
          <w:sz w:val="24"/>
          <w:szCs w:val="24"/>
          <w:lang w:val="bs-Latn-BA"/>
        </w:rPr>
        <w:t>premjesti u centra, što se naročito</w:t>
      </w:r>
      <w:r w:rsidR="008C550A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ogleda u pokušajima da se pitanje žene sa margine premjesti u fokus. Na drugoj strani Džebra, kako pokazuje autorica, uvodi model policentričnosti u strukturu svoga romana, dok je u tematskom pogledu zaokupljen pitanjem prisilnog emigriranja. Pitanja identiteta, granice, spola, dijalektike centra i margine kod Džebre poprimaju novu dimenziju jer se smještju u perspektivu egzila. </w:t>
      </w:r>
    </w:p>
    <w:p w:rsidR="00A16366" w:rsidRPr="00DE7FD3" w:rsidRDefault="00F3023A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Konstruiranju identiteta </w:t>
      </w:r>
      <w:r w:rsidR="00E12593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u palestinskom postkolonijalnom romanu i noveli 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>autrica posvećuje posebnu pažnju, te ovu temu obrađuje kroz ne</w:t>
      </w:r>
      <w:r w:rsidR="00E42B3C" w:rsidRPr="00DE7FD3">
        <w:rPr>
          <w:rFonts w:asciiTheme="majorBidi" w:hAnsiTheme="majorBidi" w:cstheme="majorBidi"/>
          <w:sz w:val="24"/>
          <w:szCs w:val="24"/>
          <w:lang w:val="bs-Latn-BA"/>
        </w:rPr>
        <w:t>koliko aspekata, među kojima pitanju pr</w:t>
      </w:r>
      <w:r w:rsidR="00A16366" w:rsidRPr="00DE7FD3">
        <w:rPr>
          <w:rFonts w:asciiTheme="majorBidi" w:hAnsiTheme="majorBidi" w:cstheme="majorBidi"/>
          <w:sz w:val="24"/>
          <w:szCs w:val="24"/>
          <w:lang w:val="bs-Latn-BA"/>
        </w:rPr>
        <w:t>ostora posvećuje posebnu pažnju, jer prostor u životu Palestinaca igra „konstitutivnu“ ulogu. Dihotomiju prisutnost - odsutnost kao važnu karakteristiku palestinske postkolonijalne proze autorica pronalazi u odnosu između vanjskog i unutrašnjeg svijeta, odnosa prostora i pojedinca, doma i egzila</w:t>
      </w:r>
      <w:r w:rsidR="002E27C4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i dr.</w:t>
      </w:r>
    </w:p>
    <w:p w:rsidR="00A16366" w:rsidRPr="00DE7FD3" w:rsidRDefault="00A16366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Ulogu ženskog elementa u palestinskom postkolon</w:t>
      </w:r>
      <w:r w:rsidR="00240438" w:rsidRPr="00DE7FD3">
        <w:rPr>
          <w:rFonts w:asciiTheme="majorBidi" w:hAnsiTheme="majorBidi" w:cstheme="majorBidi"/>
          <w:sz w:val="24"/>
          <w:szCs w:val="24"/>
          <w:lang w:val="bs-Latn-BA"/>
        </w:rPr>
        <w:t>ijalnom roman</w:t>
      </w:r>
      <w:r w:rsidR="002E27C4" w:rsidRPr="00DE7FD3">
        <w:rPr>
          <w:rFonts w:asciiTheme="majorBidi" w:hAnsiTheme="majorBidi" w:cstheme="majorBidi"/>
          <w:sz w:val="24"/>
          <w:szCs w:val="24"/>
          <w:lang w:val="bs-Latn-BA"/>
        </w:rPr>
        <w:t>u</w:t>
      </w:r>
      <w:r w:rsidR="00240438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autorica </w:t>
      </w:r>
      <w:r w:rsidR="002E27C4" w:rsidRPr="00DE7FD3">
        <w:rPr>
          <w:rFonts w:asciiTheme="majorBidi" w:hAnsiTheme="majorBidi" w:cstheme="majorBidi"/>
          <w:sz w:val="24"/>
          <w:szCs w:val="24"/>
          <w:lang w:val="bs-Latn-BA"/>
        </w:rPr>
        <w:t>uočava</w:t>
      </w:r>
      <w:r w:rsidR="00240438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u jukstaponiranju slike zemlje i slike žene, potom kao odraznu slike muške nemoći i neuspjeha, ali i kao sliku dvostruko koloniziranog subjekta.</w:t>
      </w:r>
    </w:p>
    <w:p w:rsidR="00240438" w:rsidRPr="00DE7FD3" w:rsidRDefault="00240438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Pojam granice i pustinje </w:t>
      </w:r>
      <w:r w:rsidR="007242BF" w:rsidRPr="00DE7FD3">
        <w:rPr>
          <w:rFonts w:asciiTheme="majorBidi" w:hAnsiTheme="majorBidi" w:cstheme="majorBidi"/>
          <w:sz w:val="24"/>
          <w:szCs w:val="24"/>
          <w:lang w:val="bs-Latn-BA"/>
        </w:rPr>
        <w:t>u palestinskom postkolonijalnom romanu, kako poka</w:t>
      </w:r>
      <w:r w:rsidR="002E27C4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zuje autorica, javlja se </w:t>
      </w:r>
      <w:r w:rsidR="007242BF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u stvarnom i prenesenom smislu. Na to se nadovezuje i još jedna važna karakteristika palestinskog postkolonijalnog romana, a ona se ogleda u tome da taj roman vrlo često uključuje narativ povratka. </w:t>
      </w:r>
    </w:p>
    <w:p w:rsidR="007242BF" w:rsidRPr="00DE7FD3" w:rsidRDefault="007242BF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Au</w:t>
      </w:r>
      <w:r w:rsidR="002E27C4" w:rsidRPr="00DE7FD3">
        <w:rPr>
          <w:rFonts w:asciiTheme="majorBidi" w:hAnsiTheme="majorBidi" w:cstheme="majorBidi"/>
          <w:sz w:val="24"/>
          <w:szCs w:val="24"/>
          <w:lang w:val="bs-Latn-BA"/>
        </w:rPr>
        <w:t>torica zaključuje d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a palestinski postkolonikalni roman i novela prkose kanoničnosti </w:t>
      </w:r>
      <w:r w:rsidR="002E27C4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i 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putem jezika i sadržaja. 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Default="000B302F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</w:pPr>
      <w:r w:rsidRPr="000B302F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>Naučni r</w:t>
      </w:r>
      <w:r w:rsidR="0078088E" w:rsidRPr="000B302F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>adovi do izbora u posljednje zvanje</w:t>
      </w:r>
    </w:p>
    <w:p w:rsidR="008C5752" w:rsidRPr="000B302F" w:rsidRDefault="008C5752" w:rsidP="008C575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bs-Latn-BA"/>
        </w:rPr>
      </w:pPr>
    </w:p>
    <w:p w:rsidR="0078088E" w:rsidRPr="00DE7FD3" w:rsidRDefault="0078088E" w:rsidP="008C57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Do izbora u zvanje </w:t>
      </w:r>
      <w:r w:rsidRPr="00DE7FD3">
        <w:rPr>
          <w:rFonts w:asciiTheme="majorBidi" w:hAnsiTheme="majorBidi" w:cstheme="majorBidi"/>
          <w:i/>
          <w:iCs/>
          <w:sz w:val="24"/>
          <w:szCs w:val="24"/>
          <w:lang w:val="bs-Latn-BA"/>
        </w:rPr>
        <w:t>viši stručni saradnik</w:t>
      </w:r>
      <w:r w:rsidR="002E27C4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Dženita Karić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objavila je sljedeće radove:</w:t>
      </w:r>
    </w:p>
    <w:p w:rsidR="0078088E" w:rsidRPr="00DE7FD3" w:rsidRDefault="0078088E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Pr="00DE7FD3" w:rsidRDefault="002E27C4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Fenomen palestinskog postkolonijalnog romana i novele u arapskoj književnosti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”,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Prilozi za orijentalnu filologiju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br. 59, Sarajevo, 2010, pp. 75-95.</w:t>
      </w:r>
    </w:p>
    <w:p w:rsidR="0078088E" w:rsidRPr="00DE7FD3" w:rsidRDefault="0078088E" w:rsidP="008C5752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8088E" w:rsidRPr="00DE7FD3" w:rsidRDefault="002E27C4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23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Postkolonijalni a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spekti novele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Ljudi na suncu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Gassana Kanafanija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”,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Novi Izraz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Sarajevo, 2009, br. 45-46, pp. 128-139.</w:t>
      </w:r>
    </w:p>
    <w:p w:rsidR="0078088E" w:rsidRPr="00DE7FD3" w:rsidRDefault="0078088E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Pr="00DE7FD3" w:rsidRDefault="002E27C4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Parodizacija</w:t>
      </w:r>
      <w:r w:rsidR="0078088E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forme</w:t>
      </w:r>
      <w:r w:rsidR="0078088E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sira</w:t>
      </w:r>
      <w:r w:rsidR="0078088E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u</w:t>
      </w:r>
      <w:r w:rsidR="0078088E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okvirnoj</w:t>
      </w:r>
      <w:r w:rsidR="0078088E" w:rsidRPr="00DE7FD3">
        <w:rPr>
          <w:rFonts w:asciiTheme="majorBidi" w:eastAsia="Times New Roman" w:hAnsiTheme="majorBidi" w:cstheme="majorBidi"/>
          <w:spacing w:val="-10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priči</w:t>
      </w:r>
      <w:r w:rsidR="0078088E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Hiljadu</w:t>
      </w:r>
      <w:r w:rsidR="0078088E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</w:t>
      </w:r>
      <w:r w:rsidR="0078088E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jedne</w:t>
      </w:r>
      <w:r w:rsidR="0078088E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noći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”,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Odjek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Sarajevo, 2009, LXII, broj 4, pp.</w:t>
      </w:r>
      <w:r w:rsidR="0078088E" w:rsidRPr="00DE7FD3">
        <w:rPr>
          <w:rFonts w:asciiTheme="majorBidi" w:eastAsia="Times New Roman" w:hAnsiTheme="majorBidi" w:cstheme="majorBidi"/>
          <w:spacing w:val="-32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44-47.</w:t>
      </w:r>
    </w:p>
    <w:p w:rsidR="0078088E" w:rsidRPr="00DE7FD3" w:rsidRDefault="0078088E" w:rsidP="008C575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8088E" w:rsidRPr="00DE7FD3" w:rsidRDefault="002E27C4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Motivi prolaznosti i smrti u muallaqama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Odjek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Sarajevo, 2008, LXI, broj 4., pp. 86-92.</w:t>
      </w: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8088E" w:rsidRPr="00DE7FD3" w:rsidRDefault="0078088E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</w:p>
    <w:p w:rsidR="0078088E" w:rsidRPr="000B302F" w:rsidRDefault="000B302F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</w:pPr>
      <w:r w:rsidRPr="000B302F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>Naučni radovi</w:t>
      </w:r>
      <w:r w:rsidR="0010109D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>,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 xml:space="preserve"> enciklopedijske odrednice</w:t>
      </w:r>
      <w:r w:rsidR="0078088E" w:rsidRPr="000B302F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 xml:space="preserve"> </w:t>
      </w:r>
      <w:r w:rsidRPr="000B302F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>i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 xml:space="preserve"> </w:t>
      </w:r>
      <w:r w:rsidRPr="000B302F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 xml:space="preserve">prikazi </w:t>
      </w:r>
      <w:r w:rsidR="0078088E" w:rsidRPr="000B302F">
        <w:rPr>
          <w:rFonts w:asciiTheme="majorBidi" w:hAnsiTheme="majorBidi" w:cstheme="majorBidi"/>
          <w:b/>
          <w:bCs/>
          <w:i/>
          <w:iCs/>
          <w:sz w:val="26"/>
          <w:szCs w:val="26"/>
          <w:lang w:val="bs-Latn-BA"/>
        </w:rPr>
        <w:t>nakon izbora u posljednje zvanje</w:t>
      </w:r>
    </w:p>
    <w:p w:rsidR="000B302F" w:rsidRPr="000B302F" w:rsidRDefault="000B302F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bs-Latn-BA"/>
        </w:rPr>
      </w:pPr>
    </w:p>
    <w:p w:rsidR="0078088E" w:rsidRDefault="0078088E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Dženita Karić objavila je </w:t>
      </w:r>
      <w:r w:rsidR="00F34AEA" w:rsidRPr="00DE7FD3">
        <w:rPr>
          <w:rFonts w:asciiTheme="majorBidi" w:hAnsiTheme="majorBidi" w:cstheme="majorBidi"/>
          <w:sz w:val="24"/>
          <w:szCs w:val="24"/>
          <w:lang w:val="bs-Latn-BA"/>
        </w:rPr>
        <w:t>nakon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izbora u posljednje zvanje </w:t>
      </w:r>
      <w:r w:rsidR="00F34AEA"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sedam naučnih radova u referentnim naučnim časopisima i zbornicima na bosanskom i na engleskom jeziku. Objavila je i pet enciklopedijskih odrednica za </w:t>
      </w:r>
      <w:r w:rsidR="00F34AEA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The Oxford Encyclopedia of Islam and Women</w:t>
      </w:r>
      <w:r w:rsidR="00F34AEA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i veći broj prikaza.</w:t>
      </w:r>
    </w:p>
    <w:p w:rsidR="000B302F" w:rsidRPr="00DE7FD3" w:rsidRDefault="000B302F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78088E" w:rsidRDefault="0010109D" w:rsidP="000B302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              </w:t>
      </w:r>
      <w:r w:rsidRPr="003D6E72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 </w:t>
      </w:r>
      <w:r w:rsidRPr="003D6E72">
        <w:rPr>
          <w:rFonts w:asciiTheme="majorBidi" w:hAnsiTheme="majorBidi" w:cstheme="majorBidi"/>
          <w:b/>
          <w:bCs/>
          <w:lang w:val="bs-Latn-BA"/>
        </w:rPr>
        <w:t>Naučni radovi</w:t>
      </w:r>
      <w:r w:rsidR="0078088E" w:rsidRPr="003D6E72">
        <w:rPr>
          <w:rFonts w:asciiTheme="majorBidi" w:hAnsiTheme="majorBidi" w:cstheme="majorBidi"/>
          <w:b/>
          <w:bCs/>
          <w:lang w:val="bs-Latn-BA"/>
        </w:rPr>
        <w:t xml:space="preserve"> objavljeni u toku prvog izbornog perioda</w:t>
      </w:r>
      <w:r w:rsidR="002E27C4" w:rsidRPr="003D6E72">
        <w:rPr>
          <w:rFonts w:asciiTheme="majorBidi" w:hAnsiTheme="majorBidi" w:cstheme="majorBidi"/>
          <w:b/>
          <w:bCs/>
          <w:lang w:val="bs-Latn-BA"/>
        </w:rPr>
        <w:t xml:space="preserve"> (2010-2014)</w:t>
      </w:r>
    </w:p>
    <w:p w:rsidR="008C5752" w:rsidRPr="003D6E72" w:rsidRDefault="008C5752" w:rsidP="000B302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Theme="majorBidi" w:hAnsiTheme="majorBidi" w:cstheme="majorBidi"/>
          <w:b/>
          <w:bCs/>
          <w:lang w:val="bs-Latn-BA"/>
        </w:rPr>
      </w:pPr>
    </w:p>
    <w:p w:rsidR="0078088E" w:rsidRPr="00DE7FD3" w:rsidRDefault="002E27C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2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Susret </w:t>
      </w:r>
      <w:r w:rsidR="00362944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 sukob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različitosti u djelu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Ana Zolotti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”,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 Pismo</w:t>
      </w:r>
      <w:r w:rsidR="0078142A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br. VIII, Sarajevo, 2010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.</w:t>
      </w:r>
      <w:r w:rsidR="0078142A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</w:t>
      </w:r>
      <w:r w:rsidR="00362944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pp. 201-215.</w:t>
      </w:r>
    </w:p>
    <w:p w:rsidR="0078088E" w:rsidRPr="00DE7FD3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Pr="00DE7FD3" w:rsidRDefault="0078142A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Višestruka tumačenja ‘Ağa’iba (Čudesnog) – na primjeru djela Risāla al-intiṣār li qidwa al-’aḫyār Ali-dede Bošnjaka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,</w:t>
      </w:r>
      <w:r w:rsidR="0078088E" w:rsidRPr="00DE7FD3">
        <w:rPr>
          <w:rFonts w:asciiTheme="majorBidi" w:eastAsia="Times New Roman" w:hAnsiTheme="majorBidi" w:cstheme="majorBidi"/>
          <w:i/>
          <w:iCs/>
          <w:spacing w:val="-11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Prilozi</w:t>
      </w:r>
      <w:r w:rsidR="0078088E" w:rsidRPr="00DE7FD3">
        <w:rPr>
          <w:rFonts w:asciiTheme="majorBidi" w:eastAsia="Times New Roman" w:hAnsiTheme="majorBidi" w:cstheme="majorBidi"/>
          <w:i/>
          <w:iCs/>
          <w:spacing w:val="-11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za</w:t>
      </w:r>
      <w:r w:rsidR="0078088E" w:rsidRPr="00DE7FD3">
        <w:rPr>
          <w:rFonts w:asciiTheme="majorBidi" w:eastAsia="Times New Roman" w:hAnsiTheme="majorBidi" w:cstheme="majorBidi"/>
          <w:i/>
          <w:iCs/>
          <w:spacing w:val="-8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orijentalnu</w:t>
      </w:r>
      <w:r w:rsidR="0078088E" w:rsidRPr="00DE7FD3">
        <w:rPr>
          <w:rFonts w:asciiTheme="majorBidi" w:eastAsia="Times New Roman" w:hAnsiTheme="majorBidi" w:cstheme="majorBidi"/>
          <w:i/>
          <w:iCs/>
          <w:spacing w:val="-8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filologiju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</w:t>
      </w:r>
      <w:r w:rsidR="0078088E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br.</w:t>
      </w:r>
      <w:r w:rsidR="0078088E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60, Sarajevo,</w:t>
      </w:r>
      <w:r w:rsidR="0078088E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2011.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pp. 109-117.</w:t>
      </w:r>
    </w:p>
    <w:p w:rsidR="007242BF" w:rsidRPr="00DE7FD3" w:rsidRDefault="007242B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Pr="00DE7FD3" w:rsidRDefault="0078142A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Estetski aspekt alhamijado književnosti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”, </w:t>
      </w:r>
      <w:r w:rsidR="0078088E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Al- Dawra al-saniya 'ašara „Khalil Mutran wa Muhammad 'Ali/Mak Dizdar“. 'Abhas al-nadwa al- adabiyya: Mutran/Dizdar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Mu'assasa Ja'iza 'Abd al-'Aziz Sa'ud li al-'ibda' al-ši'ri, al-Kuwayt, 2010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.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pp. 467-501.</w:t>
      </w:r>
    </w:p>
    <w:p w:rsidR="0078088E" w:rsidRPr="00DE7FD3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10109D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outlineLvl w:val="5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 xml:space="preserve">            </w:t>
      </w:r>
      <w:r w:rsidR="0078088E" w:rsidRPr="003D6E72">
        <w:rPr>
          <w:rFonts w:asciiTheme="majorBidi" w:eastAsia="Times New Roman" w:hAnsiTheme="majorBidi" w:cstheme="majorBidi"/>
          <w:b/>
          <w:bCs/>
          <w:lang w:eastAsia="hr-HR"/>
        </w:rPr>
        <w:t>Enciklopedijske odrednice</w:t>
      </w:r>
      <w:r w:rsidRPr="003D6E72">
        <w:rPr>
          <w:rFonts w:asciiTheme="majorBidi" w:eastAsia="Times New Roman" w:hAnsiTheme="majorBidi" w:cstheme="majorBidi"/>
          <w:b/>
          <w:bCs/>
          <w:lang w:eastAsia="hr-HR"/>
        </w:rPr>
        <w:t xml:space="preserve"> objavljene u toku prvog izbornog perioda </w:t>
      </w:r>
      <w:r w:rsidRPr="003D6E72">
        <w:rPr>
          <w:rFonts w:asciiTheme="majorBidi" w:hAnsiTheme="majorBidi" w:cstheme="majorBidi"/>
          <w:b/>
          <w:bCs/>
          <w:lang w:val="bs-Latn-BA"/>
        </w:rPr>
        <w:t>(2010-2014)</w:t>
      </w:r>
    </w:p>
    <w:p w:rsidR="008C5752" w:rsidRPr="003D6E72" w:rsidRDefault="008C5752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outlineLvl w:val="5"/>
        <w:rPr>
          <w:rFonts w:asciiTheme="majorBidi" w:eastAsia="Times New Roman" w:hAnsiTheme="majorBidi" w:cstheme="majorBidi"/>
          <w:b/>
          <w:bCs/>
          <w:lang w:eastAsia="hr-HR"/>
        </w:rPr>
      </w:pPr>
    </w:p>
    <w:p w:rsidR="0078142A" w:rsidRPr="00DE7FD3" w:rsidRDefault="0078142A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Women in Bosnia and Herzegovina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for The Oxford Encyclopedia of Islam and Women,</w:t>
      </w:r>
    </w:p>
    <w:p w:rsidR="0078088E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series editor      John      Esp</w:t>
      </w:r>
      <w:r w:rsidR="0078142A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osito, editor-in-chief Natana J. DeLong-Bas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(2013) 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142A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Mustafa Ceric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for The Oxford Encyclopedia of Islam and Women, series editor John Esposito, editor-in-chief Natana J. DeLong-Bas</w:t>
      </w:r>
      <w:r w:rsidR="0078088E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(2013)</w:t>
      </w:r>
    </w:p>
    <w:p w:rsidR="003D6E72" w:rsidRPr="00DE7FD3" w:rsidRDefault="003D6E72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142A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66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Afterlife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for The Oxford Encyclopedia of Islam and Women, series editor John Esposito, editor- in-chief Natana J. DeLong-Bas (2013)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66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142A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Muslim minorities in non-Muslim countries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for The Oxford Encyclopedia of Islam and Women, series editor John Esposito, editor-in-chief Natana J. DeLong-Bas (2013)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142A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Devotional poetry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78088E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for The Oxford Encyclopedia of Islam and Women, series editor John Esposito, editor-in-chief Natana J. DeLong-Bas (2013)</w:t>
      </w:r>
    </w:p>
    <w:p w:rsidR="0078088E" w:rsidRPr="00DE7FD3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</w:p>
    <w:p w:rsidR="0010109D" w:rsidRPr="003D6E72" w:rsidRDefault="0010109D" w:rsidP="0010109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Theme="majorBidi" w:hAnsiTheme="majorBidi" w:cstheme="majorBidi"/>
          <w:b/>
          <w:bCs/>
          <w:lang w:val="bs-Latn-BA"/>
        </w:rPr>
      </w:pPr>
      <w:r w:rsidRPr="003D6E72">
        <w:rPr>
          <w:rFonts w:asciiTheme="majorBidi" w:eastAsia="Times New Roman" w:hAnsiTheme="majorBidi" w:cstheme="majorBidi"/>
          <w:b/>
          <w:bCs/>
          <w:lang w:eastAsia="hr-HR"/>
        </w:rPr>
        <w:t xml:space="preserve">         </w:t>
      </w:r>
      <w:r w:rsidR="003D6E72">
        <w:rPr>
          <w:rFonts w:asciiTheme="majorBidi" w:eastAsia="Times New Roman" w:hAnsiTheme="majorBidi" w:cstheme="majorBidi"/>
          <w:b/>
          <w:bCs/>
          <w:lang w:eastAsia="hr-HR"/>
        </w:rPr>
        <w:t xml:space="preserve">         </w:t>
      </w:r>
      <w:r w:rsidR="0078088E" w:rsidRPr="003D6E72">
        <w:rPr>
          <w:rFonts w:asciiTheme="majorBidi" w:eastAsia="Times New Roman" w:hAnsiTheme="majorBidi" w:cstheme="majorBidi"/>
          <w:b/>
          <w:bCs/>
          <w:lang w:eastAsia="hr-HR"/>
        </w:rPr>
        <w:t>Prikazi</w:t>
      </w:r>
      <w:r w:rsidRPr="003D6E72">
        <w:rPr>
          <w:rFonts w:asciiTheme="majorBidi" w:hAnsiTheme="majorBidi" w:cstheme="majorBidi"/>
          <w:b/>
          <w:bCs/>
          <w:lang w:val="bs-Latn-BA"/>
        </w:rPr>
        <w:t xml:space="preserve"> objavljeni u toku prvog izbornog perioda (2010-2014)</w:t>
      </w:r>
    </w:p>
    <w:p w:rsidR="0078088E" w:rsidRPr="00DE7FD3" w:rsidRDefault="0078088E" w:rsidP="003D6E7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142A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Meyda Yegenoglu,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Islam, Migrancy, and Hospitality in Europe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, New York, Palgrave Macmillan, 2012. U: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Journal of Muslims in Europe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2, 2013, str. 83-84.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40547A">
      <w:pPr>
        <w:widowControl w:val="0"/>
        <w:tabs>
          <w:tab w:val="left" w:pos="31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0" w:right="40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Muḥammad   ̔Afīfī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, </w:t>
      </w:r>
      <w:r w:rsidRPr="00DE7FD3">
        <w:rPr>
          <w:rFonts w:asciiTheme="majorBidi" w:eastAsia="Times New Roman" w:hAnsiTheme="majorBidi" w:cstheme="majorBidi"/>
          <w:i/>
          <w:iCs/>
          <w:spacing w:val="4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̔Arab</w:t>
      </w:r>
      <w:r w:rsidRPr="00DE7FD3">
        <w:rPr>
          <w:rFonts w:asciiTheme="majorBidi" w:eastAsia="Times New Roman" w:hAnsiTheme="majorBidi" w:cstheme="majorBidi"/>
          <w:i/>
          <w:iCs/>
          <w:spacing w:val="-1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wa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ab/>
        <w:t>̔Uṯmāniyyūn: Ru ̓ayā muġāyira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, Prilozi za orijentalnu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lastRenderedPageBreak/>
        <w:t xml:space="preserve">filologiju, </w:t>
      </w:r>
      <w:r w:rsidR="0040547A">
        <w:rPr>
          <w:rFonts w:asciiTheme="majorBidi" w:eastAsia="Times New Roman" w:hAnsiTheme="majorBidi" w:cstheme="majorBidi"/>
          <w:sz w:val="24"/>
          <w:szCs w:val="24"/>
          <w:lang w:eastAsia="hr-HR"/>
        </w:rPr>
        <w:t>br.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61, November</w:t>
      </w:r>
      <w:r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2012.</w:t>
      </w:r>
    </w:p>
    <w:p w:rsidR="00EA1024" w:rsidRPr="00DE7FD3" w:rsidRDefault="00EA1024" w:rsidP="00DE7FD3">
      <w:pPr>
        <w:widowControl w:val="0"/>
        <w:tabs>
          <w:tab w:val="left" w:pos="31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0" w:right="40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̔Abd al-Raḥmān al-Ḥāğğ,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al-Ḫiṭāb al-siyāsī fī al-Qur ̓ān: al-sulṭa wa al-ğamā </w:t>
      </w:r>
      <w:r w:rsidRPr="00DE7FD3">
        <w:rPr>
          <w:rFonts w:asciiTheme="majorBidi" w:eastAsia="Times New Roman" w:hAnsiTheme="majorBidi" w:cstheme="majorBidi"/>
          <w:i/>
          <w:iCs/>
          <w:w w:val="90"/>
          <w:sz w:val="24"/>
          <w:szCs w:val="24"/>
          <w:lang w:eastAsia="hr-HR"/>
        </w:rPr>
        <w:t xml:space="preserve">̔a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wa manẓūma al- qiyam,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Prilo</w:t>
      </w:r>
      <w:r w:rsidR="0040547A">
        <w:rPr>
          <w:rFonts w:asciiTheme="majorBidi" w:eastAsia="Times New Roman" w:hAnsiTheme="majorBidi" w:cstheme="majorBidi"/>
          <w:sz w:val="24"/>
          <w:szCs w:val="24"/>
          <w:lang w:eastAsia="hr-HR"/>
        </w:rPr>
        <w:t>zi za orijentalnu filologiju, br.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61, November 2012.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Grupa autora,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al-Taṣawwuf fī al-Su ̔ūdiyya wa al-Ḫalīğ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Markaz al-Masbār li al-dirāsāt wa al- buḥūṯ, Prilozi za orijent</w:t>
      </w:r>
      <w:r w:rsidR="0040547A">
        <w:rPr>
          <w:rFonts w:asciiTheme="majorBidi" w:eastAsia="Times New Roman" w:hAnsiTheme="majorBidi" w:cstheme="majorBidi"/>
          <w:sz w:val="24"/>
          <w:szCs w:val="24"/>
          <w:lang w:eastAsia="hr-HR"/>
        </w:rPr>
        <w:t>alnu filologiju, br.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61, November 2012.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40547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Ian Almond,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The New Orientalists: Postmodern representations of Islam from Foucault to Baudrillard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. U: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Yearbook of Muslims in Europe</w:t>
      </w:r>
      <w:r w:rsidR="0040547A">
        <w:rPr>
          <w:rFonts w:asciiTheme="majorBidi" w:eastAsia="Times New Roman" w:hAnsiTheme="majorBidi" w:cstheme="majorBidi"/>
          <w:sz w:val="24"/>
          <w:szCs w:val="24"/>
          <w:lang w:eastAsia="hr-HR"/>
        </w:rPr>
        <w:t>, Brill, no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3, 2011.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Ian Almond,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History of Islam in German Thought: From Leibniz to Nietzsche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. U: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Yearbook of Muslims in Europe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Brill, no 3, 2011.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Ian Almond,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Two Faiths, One Banner: When MUSLIMS Marched With CHRISTIANS Across Europe's Battlegrounds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. U: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Yearbook of Muslims in Europe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Brill, no 3, 2011.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Dalya Abudi,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Mothers and Daughters in Arab Women's Literature: The Family Frontier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;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Prilozi za orijentalnu filologiju</w:t>
      </w:r>
      <w:r w:rsidR="0040547A">
        <w:rPr>
          <w:rFonts w:asciiTheme="majorBidi" w:eastAsia="Times New Roman" w:hAnsiTheme="majorBidi" w:cstheme="majorBidi"/>
          <w:sz w:val="24"/>
          <w:szCs w:val="24"/>
          <w:lang w:eastAsia="hr-HR"/>
        </w:rPr>
        <w:t>, br.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60, 2011.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Niqula Ziyāda,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Al-Rahhalun al-muslimun wa al-’urubiyyun ’ilā al-šarq al-‘arabiyy fi al-‘usur al- wustā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;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Prilozi za orijentalnu filologiju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no 60, 2011.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78088E" w:rsidRDefault="0078088E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Ian Almond,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The New Orientalists: Postmodern representations of Islam from Foucault to Baudrillard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. </w:t>
      </w:r>
      <w:r w:rsidR="0040547A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U: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Yearbook of Muslims in Europe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Brill, no 3, 2011.</w:t>
      </w:r>
    </w:p>
    <w:p w:rsidR="00EA1024" w:rsidRPr="00DE7FD3" w:rsidRDefault="00EA1024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F758A8" w:rsidRPr="003D6E72" w:rsidRDefault="0010109D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b/>
          <w:bCs/>
          <w:lang w:eastAsia="hr-HR"/>
        </w:rPr>
      </w:pPr>
      <w:r w:rsidRPr="003D6E72">
        <w:rPr>
          <w:rFonts w:asciiTheme="majorBidi" w:eastAsia="Times New Roman" w:hAnsiTheme="majorBidi" w:cstheme="majorBidi"/>
          <w:b/>
          <w:bCs/>
          <w:lang w:eastAsia="hr-HR"/>
        </w:rPr>
        <w:t xml:space="preserve">                 Naučni r</w:t>
      </w:r>
      <w:r w:rsidR="00F758A8" w:rsidRPr="003D6E72">
        <w:rPr>
          <w:rFonts w:asciiTheme="majorBidi" w:eastAsia="Times New Roman" w:hAnsiTheme="majorBidi" w:cstheme="majorBidi"/>
          <w:b/>
          <w:bCs/>
          <w:lang w:eastAsia="hr-HR"/>
        </w:rPr>
        <w:t xml:space="preserve">adovi objavljeni u toku </w:t>
      </w:r>
      <w:r w:rsidR="00F34AEA" w:rsidRPr="003D6E72">
        <w:rPr>
          <w:rFonts w:asciiTheme="majorBidi" w:eastAsia="Times New Roman" w:hAnsiTheme="majorBidi" w:cstheme="majorBidi"/>
          <w:b/>
          <w:bCs/>
          <w:lang w:eastAsia="hr-HR"/>
        </w:rPr>
        <w:t xml:space="preserve">perioda </w:t>
      </w:r>
      <w:r w:rsidR="00F758A8" w:rsidRPr="003D6E72">
        <w:rPr>
          <w:rFonts w:asciiTheme="majorBidi" w:eastAsia="Times New Roman" w:hAnsiTheme="majorBidi" w:cstheme="majorBidi"/>
          <w:b/>
          <w:bCs/>
          <w:lang w:eastAsia="hr-HR"/>
        </w:rPr>
        <w:t>reizbora (2014-2018)</w:t>
      </w:r>
    </w:p>
    <w:p w:rsidR="00F758A8" w:rsidRPr="003D6E72" w:rsidRDefault="00F758A8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lang w:eastAsia="hr-HR"/>
        </w:rPr>
      </w:pPr>
    </w:p>
    <w:p w:rsidR="008238F3" w:rsidRPr="00DE7FD3" w:rsidRDefault="0040547A" w:rsidP="0040547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Sultan’s</w:t>
      </w:r>
      <w:r w:rsidR="008238F3"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children:</w:t>
      </w:r>
      <w:r w:rsidR="008238F3" w:rsidRPr="00DE7FD3">
        <w:rPr>
          <w:rFonts w:asciiTheme="majorBidi" w:eastAsia="Times New Roman" w:hAnsiTheme="majorBidi" w:cstheme="majorBidi"/>
          <w:spacing w:val="-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Bosnian</w:t>
      </w:r>
      <w:r w:rsidR="008238F3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Jews</w:t>
      </w:r>
      <w:r w:rsidR="008238F3"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in</w:t>
      </w:r>
      <w:r w:rsidR="008238F3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two</w:t>
      </w:r>
      <w:r w:rsidR="008238F3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major</w:t>
      </w:r>
      <w:r w:rsidR="008238F3" w:rsidRPr="00DE7FD3">
        <w:rPr>
          <w:rFonts w:asciiTheme="majorBidi" w:eastAsia="Times New Roman" w:hAnsiTheme="majorBidi" w:cstheme="majorBidi"/>
          <w:spacing w:val="-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newspapers</w:t>
      </w:r>
      <w:r w:rsidR="008238F3"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8238F3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="008238F3"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Bosnian</w:t>
      </w:r>
      <w:r w:rsidR="008238F3" w:rsidRPr="00DE7FD3">
        <w:rPr>
          <w:rFonts w:asciiTheme="majorBidi" w:eastAsia="Times New Roman" w:hAnsiTheme="majorBidi" w:cstheme="majorBidi"/>
          <w:spacing w:val="-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vilayat</w:t>
      </w:r>
      <w:r w:rsidR="008238F3" w:rsidRPr="00DE7FD3">
        <w:rPr>
          <w:rFonts w:asciiTheme="majorBidi" w:eastAsia="Times New Roman" w:hAnsiTheme="majorBidi" w:cstheme="majorBidi"/>
          <w:spacing w:val="3"/>
          <w:sz w:val="24"/>
          <w:szCs w:val="24"/>
          <w:lang w:eastAsia="hr-HR"/>
        </w:rPr>
        <w:t xml:space="preserve">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Bosna</w:t>
      </w:r>
      <w:r w:rsidR="008238F3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and </w:t>
      </w:r>
      <w:r w:rsidR="008238F3"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Sarajevski</w:t>
      </w:r>
      <w:r w:rsidR="008238F3" w:rsidRPr="0040547A">
        <w:rPr>
          <w:rFonts w:asciiTheme="majorBidi" w:eastAsia="Times New Roman" w:hAnsiTheme="majorBidi" w:cstheme="majorBidi"/>
          <w:i/>
          <w:iCs/>
          <w:spacing w:val="-16"/>
          <w:sz w:val="24"/>
          <w:szCs w:val="24"/>
          <w:lang w:eastAsia="hr-HR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c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vjetnik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”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</w:t>
      </w:r>
      <w:r w:rsidR="008238F3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British</w:t>
      </w:r>
      <w:r w:rsidR="008238F3" w:rsidRPr="00DE7FD3">
        <w:rPr>
          <w:rFonts w:asciiTheme="majorBidi" w:eastAsia="Times New Roman" w:hAnsiTheme="majorBidi" w:cstheme="majorBidi"/>
          <w:i/>
          <w:iCs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Journal</w:t>
      </w:r>
      <w:r w:rsidR="008238F3" w:rsidRPr="00DE7FD3">
        <w:rPr>
          <w:rFonts w:asciiTheme="majorBidi" w:eastAsia="Times New Roman" w:hAnsiTheme="majorBidi" w:cstheme="majorBidi"/>
          <w:i/>
          <w:iCs/>
          <w:spacing w:val="-16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of</w:t>
      </w:r>
      <w:r w:rsidR="008238F3" w:rsidRPr="00DE7FD3">
        <w:rPr>
          <w:rFonts w:asciiTheme="majorBidi" w:eastAsia="Times New Roman" w:hAnsiTheme="majorBidi" w:cstheme="majorBidi"/>
          <w:i/>
          <w:iCs/>
          <w:spacing w:val="-15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Middle</w:t>
      </w:r>
      <w:r w:rsidR="008238F3" w:rsidRPr="00DE7FD3">
        <w:rPr>
          <w:rFonts w:asciiTheme="majorBidi" w:eastAsia="Times New Roman" w:hAnsiTheme="majorBidi" w:cstheme="majorBidi"/>
          <w:i/>
          <w:iCs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Eastern</w:t>
      </w:r>
      <w:r w:rsidR="008238F3" w:rsidRPr="00DE7FD3">
        <w:rPr>
          <w:rFonts w:asciiTheme="majorBidi" w:eastAsia="Times New Roman" w:hAnsiTheme="majorBidi" w:cstheme="majorBidi"/>
          <w:i/>
          <w:iCs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Studies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</w:t>
      </w:r>
      <w:r w:rsidR="008238F3" w:rsidRPr="00DE7FD3">
        <w:rPr>
          <w:rFonts w:asciiTheme="majorBidi" w:eastAsia="Times New Roman" w:hAnsiTheme="majorBidi" w:cstheme="majorBidi"/>
          <w:spacing w:val="-16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Taylor</w:t>
      </w:r>
      <w:r w:rsidR="008238F3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&amp;</w:t>
      </w:r>
      <w:r w:rsidR="008238F3" w:rsidRPr="00DE7FD3">
        <w:rPr>
          <w:rFonts w:asciiTheme="majorBidi" w:eastAsia="Times New Roman" w:hAnsiTheme="majorBidi" w:cstheme="majorBidi"/>
          <w:spacing w:val="-14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Francis,</w:t>
      </w:r>
      <w:r w:rsidR="008238F3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Volume</w:t>
      </w:r>
      <w:r w:rsidR="008238F3" w:rsidRPr="00DE7FD3">
        <w:rPr>
          <w:rFonts w:asciiTheme="majorBidi" w:eastAsia="Times New Roman" w:hAnsiTheme="majorBidi" w:cstheme="majorBidi"/>
          <w:spacing w:val="-13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42,</w:t>
      </w:r>
      <w:r w:rsidR="008238F3" w:rsidRPr="00DE7FD3">
        <w:rPr>
          <w:rFonts w:asciiTheme="majorBidi" w:eastAsia="Times New Roman" w:hAnsiTheme="majorBidi" w:cstheme="majorBidi"/>
          <w:spacing w:val="-15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Issue 2 (2015):</w:t>
      </w:r>
      <w:r w:rsidR="008238F3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147-162</w:t>
      </w: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238F3" w:rsidRPr="00DE7FD3" w:rsidRDefault="0040547A" w:rsidP="0040547A">
      <w:pPr>
        <w:widowControl w:val="0"/>
        <w:tabs>
          <w:tab w:val="left" w:pos="3629"/>
        </w:tabs>
        <w:kinsoku w:val="0"/>
        <w:overflowPunct w:val="0"/>
        <w:autoSpaceDE w:val="0"/>
        <w:autoSpaceDN w:val="0"/>
        <w:adjustRightInd w:val="0"/>
        <w:spacing w:before="51" w:after="0" w:line="276" w:lineRule="auto"/>
        <w:ind w:left="100"/>
        <w:jc w:val="both"/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“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D</w:t>
      </w:r>
      <w:r w:rsidR="008238F3" w:rsidRPr="00DE7FD3">
        <w:rPr>
          <w:rFonts w:asciiTheme="majorBidi" w:eastAsia="Times New Roman" w:hAnsiTheme="majorBidi" w:cstheme="majorBidi"/>
          <w:spacing w:val="-1"/>
          <w:position w:val="1"/>
          <w:sz w:val="24"/>
          <w:szCs w:val="24"/>
          <w:lang w:eastAsia="hr-HR"/>
        </w:rPr>
        <w:t>j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e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>l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o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 xml:space="preserve"> ‘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Da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l</w:t>
      </w:r>
      <w:r w:rsidR="008238F3" w:rsidRPr="00DE7FD3">
        <w:rPr>
          <w:rFonts w:asciiTheme="majorBidi" w:eastAsia="Times New Roman" w:hAnsiTheme="majorBidi" w:cstheme="majorBidi"/>
          <w:spacing w:val="2"/>
          <w:position w:val="1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spacing w:val="-32"/>
          <w:position w:val="1"/>
          <w:sz w:val="24"/>
          <w:szCs w:val="24"/>
          <w:lang w:eastAsia="hr-HR"/>
        </w:rPr>
        <w:t>l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̄</w:t>
      </w:r>
      <w:r w:rsidR="008238F3" w:rsidRPr="00DE7FD3">
        <w:rPr>
          <w:rFonts w:asciiTheme="majorBidi" w:eastAsia="Times New Roman" w:hAnsiTheme="majorBidi" w:cstheme="majorBidi"/>
          <w:spacing w:val="2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pacing w:val="4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>l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-</w:t>
      </w:r>
      <w:r w:rsidR="008238F3" w:rsidRPr="00DE7FD3">
        <w:rPr>
          <w:rFonts w:asciiTheme="majorBidi" w:eastAsia="Times New Roman" w:hAnsiTheme="majorBidi" w:cstheme="majorBidi"/>
          <w:spacing w:val="2"/>
          <w:position w:val="1"/>
          <w:sz w:val="24"/>
          <w:szCs w:val="24"/>
          <w:lang w:eastAsia="hr-HR"/>
        </w:rPr>
        <w:t>s</w:t>
      </w:r>
      <w:r w:rsidR="008238F3" w:rsidRPr="00DE7FD3">
        <w:rPr>
          <w:rFonts w:asciiTheme="majorBidi" w:eastAsia="Times New Roman" w:hAnsiTheme="majorBidi" w:cstheme="majorBidi"/>
          <w:spacing w:val="-5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̄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ʾ</w:t>
      </w:r>
      <w:r w:rsidR="008238F3" w:rsidRPr="00DE7FD3">
        <w:rPr>
          <w:rFonts w:asciiTheme="majorBidi" w:eastAsia="Times New Roman" w:hAnsiTheme="majorBidi" w:cstheme="majorBidi"/>
          <w:spacing w:val="2"/>
          <w:position w:val="1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r</w:t>
      </w:r>
      <w:r w:rsidR="008238F3" w:rsidRPr="00DE7FD3">
        <w:rPr>
          <w:rFonts w:asciiTheme="majorBidi" w:eastAsia="Times New Roman" w:hAnsiTheme="majorBidi" w:cstheme="majorBidi"/>
          <w:spacing w:val="2"/>
          <w:position w:val="1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n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’</w:t>
      </w:r>
      <w:r w:rsidR="008238F3" w:rsidRPr="00DE7FD3">
        <w:rPr>
          <w:rFonts w:asciiTheme="majorBidi" w:eastAsia="Times New Roman" w:hAnsiTheme="majorBidi" w:cstheme="majorBidi"/>
          <w:spacing w:val="-4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pacing w:val="1"/>
          <w:position w:val="1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m</w:t>
      </w:r>
      <w:r w:rsidR="008238F3" w:rsidRPr="00DE7FD3">
        <w:rPr>
          <w:rFonts w:asciiTheme="majorBidi" w:eastAsia="Times New Roman" w:hAnsiTheme="majorBidi" w:cstheme="majorBidi"/>
          <w:spacing w:val="-5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̄m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-</w:t>
      </w:r>
      <w:r w:rsidR="008238F3" w:rsidRPr="00DE7FD3">
        <w:rPr>
          <w:rFonts w:asciiTheme="majorBidi" w:eastAsia="Times New Roman" w:hAnsiTheme="majorBidi" w:cstheme="majorBidi"/>
          <w:spacing w:val="1"/>
          <w:position w:val="1"/>
          <w:sz w:val="24"/>
          <w:szCs w:val="24"/>
          <w:lang w:eastAsia="hr-HR"/>
        </w:rPr>
        <w:t>z</w:t>
      </w:r>
      <w:r w:rsidR="008238F3" w:rsidRPr="00DE7FD3">
        <w:rPr>
          <w:rFonts w:asciiTheme="majorBidi" w:eastAsia="Times New Roman" w:hAnsiTheme="majorBidi" w:cstheme="majorBidi"/>
          <w:spacing w:val="-5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̄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d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e</w:t>
      </w:r>
      <w:r w:rsidR="008238F3" w:rsidRPr="00DE7FD3">
        <w:rPr>
          <w:rFonts w:asciiTheme="majorBidi" w:eastAsia="Times New Roman" w:hAnsiTheme="majorBidi" w:cstheme="majorBidi"/>
          <w:spacing w:val="-6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pacing w:val="-1"/>
          <w:position w:val="1"/>
          <w:sz w:val="24"/>
          <w:szCs w:val="24"/>
          <w:lang w:eastAsia="hr-HR"/>
        </w:rPr>
        <w:t>H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229"/>
          <w:position w:val="1"/>
          <w:sz w:val="24"/>
          <w:szCs w:val="24"/>
          <w:lang w:eastAsia="hr-HR"/>
        </w:rPr>
        <w:t>s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̣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1"/>
          <w:position w:val="1"/>
          <w:sz w:val="24"/>
          <w:szCs w:val="24"/>
          <w:lang w:eastAsia="hr-HR"/>
        </w:rPr>
        <w:t>n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l-</w:t>
      </w:r>
      <w:r w:rsidR="008238F3" w:rsidRPr="00DE7FD3">
        <w:rPr>
          <w:rFonts w:asciiTheme="majorBidi" w:eastAsia="Times New Roman" w:hAnsiTheme="majorBidi" w:cstheme="majorBidi"/>
          <w:spacing w:val="3"/>
          <w:position w:val="1"/>
          <w:sz w:val="24"/>
          <w:szCs w:val="24"/>
          <w:lang w:eastAsia="hr-HR"/>
        </w:rPr>
        <w:t>B</w:t>
      </w:r>
      <w:r w:rsidR="008238F3" w:rsidRPr="00DE7FD3">
        <w:rPr>
          <w:rFonts w:asciiTheme="majorBidi" w:eastAsia="Times New Roman" w:hAnsiTheme="majorBidi" w:cstheme="majorBidi"/>
          <w:spacing w:val="-1"/>
          <w:position w:val="1"/>
          <w:sz w:val="24"/>
          <w:szCs w:val="24"/>
          <w:lang w:eastAsia="hr-HR"/>
        </w:rPr>
        <w:t>u</w:t>
      </w:r>
      <w:r w:rsidR="008238F3" w:rsidRPr="00DE7FD3">
        <w:rPr>
          <w:rFonts w:asciiTheme="majorBidi" w:eastAsia="Times New Roman" w:hAnsiTheme="majorBidi" w:cstheme="majorBidi"/>
          <w:spacing w:val="-104"/>
          <w:position w:val="1"/>
          <w:sz w:val="24"/>
          <w:szCs w:val="24"/>
          <w:lang w:eastAsia="hr-HR"/>
        </w:rPr>
        <w:t>s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̄ 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n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1"/>
          <w:position w:val="1"/>
          <w:sz w:val="24"/>
          <w:szCs w:val="24"/>
          <w:lang w:eastAsia="hr-HR"/>
        </w:rPr>
        <w:t>w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spacing w:val="-1"/>
          <w:position w:val="1"/>
          <w:sz w:val="24"/>
          <w:szCs w:val="24"/>
          <w:lang w:eastAsia="hr-HR"/>
        </w:rPr>
        <w:t>j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6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spacing w:val="-4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f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1"/>
          <w:position w:val="1"/>
          <w:sz w:val="24"/>
          <w:szCs w:val="24"/>
          <w:lang w:eastAsia="hr-HR"/>
        </w:rPr>
        <w:t>d</w:t>
      </w:r>
      <w:r w:rsidR="008238F3" w:rsidRPr="00DE7FD3">
        <w:rPr>
          <w:rFonts w:asciiTheme="majorBidi" w:eastAsia="Times New Roman" w:hAnsiTheme="majorBidi" w:cstheme="majorBidi"/>
          <w:spacing w:val="-5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̣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̄</w:t>
      </w:r>
      <w:r w:rsidR="008238F3" w:rsidRPr="00DE7FD3">
        <w:rPr>
          <w:rFonts w:asciiTheme="majorBidi" w:eastAsia="Times New Roman" w:hAnsiTheme="majorBidi" w:cstheme="majorBidi"/>
          <w:spacing w:val="3"/>
          <w:position w:val="1"/>
          <w:sz w:val="24"/>
          <w:szCs w:val="24"/>
          <w:lang w:eastAsia="hr-HR"/>
        </w:rPr>
        <w:t>ʾ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>il</w:t>
      </w:r>
      <w:r w:rsidR="008238F3" w:rsidRPr="00DE7FD3">
        <w:rPr>
          <w:rFonts w:asciiTheme="majorBidi" w:eastAsia="Times New Roman" w:hAnsiTheme="majorBidi" w:cstheme="majorBidi"/>
          <w:spacing w:val="1"/>
          <w:position w:val="1"/>
          <w:sz w:val="24"/>
          <w:szCs w:val="24"/>
          <w:lang w:eastAsia="hr-HR"/>
        </w:rPr>
        <w:t>sk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>li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te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r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1"/>
          <w:position w:val="1"/>
          <w:sz w:val="24"/>
          <w:szCs w:val="24"/>
          <w:lang w:eastAsia="hr-HR"/>
        </w:rPr>
        <w:t>t</w:t>
      </w:r>
      <w:r w:rsidR="008238F3" w:rsidRPr="00DE7FD3">
        <w:rPr>
          <w:rFonts w:asciiTheme="majorBidi" w:eastAsia="Times New Roman" w:hAnsiTheme="majorBidi" w:cstheme="majorBidi"/>
          <w:spacing w:val="3"/>
          <w:position w:val="1"/>
          <w:sz w:val="24"/>
          <w:szCs w:val="24"/>
          <w:lang w:eastAsia="hr-HR"/>
        </w:rPr>
        <w:t>u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>r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a:</w:t>
      </w:r>
      <w:r w:rsidR="008238F3" w:rsidRPr="00DE7FD3">
        <w:rPr>
          <w:rFonts w:asciiTheme="majorBidi" w:eastAsia="Times New Roman" w:hAnsiTheme="majorBidi" w:cstheme="majorBidi"/>
          <w:spacing w:val="-4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te</w:t>
      </w:r>
      <w:r w:rsidR="008238F3" w:rsidRPr="00DE7FD3">
        <w:rPr>
          <w:rFonts w:asciiTheme="majorBidi" w:eastAsia="Times New Roman" w:hAnsiTheme="majorBidi" w:cstheme="majorBidi"/>
          <w:spacing w:val="1"/>
          <w:position w:val="1"/>
          <w:sz w:val="24"/>
          <w:szCs w:val="24"/>
          <w:lang w:eastAsia="hr-HR"/>
        </w:rPr>
        <w:t>ks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u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>l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n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spacing w:val="-9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pacing w:val="4"/>
          <w:position w:val="1"/>
          <w:sz w:val="24"/>
          <w:szCs w:val="24"/>
          <w:lang w:eastAsia="hr-HR"/>
        </w:rPr>
        <w:t>a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u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</w:t>
      </w:r>
      <w:r w:rsidR="008238F3" w:rsidRPr="00DE7FD3">
        <w:rPr>
          <w:rFonts w:asciiTheme="majorBidi" w:eastAsia="Times New Roman" w:hAnsiTheme="majorBidi" w:cstheme="majorBidi"/>
          <w:spacing w:val="-2"/>
          <w:position w:val="1"/>
          <w:sz w:val="24"/>
          <w:szCs w:val="24"/>
          <w:lang w:eastAsia="hr-HR"/>
        </w:rPr>
        <w:t>o</w:t>
      </w:r>
      <w:r w:rsidR="008238F3" w:rsidRPr="00DE7FD3">
        <w:rPr>
          <w:rFonts w:asciiTheme="majorBidi" w:eastAsia="Times New Roman" w:hAnsiTheme="majorBidi" w:cstheme="majorBidi"/>
          <w:spacing w:val="2"/>
          <w:position w:val="1"/>
          <w:sz w:val="24"/>
          <w:szCs w:val="24"/>
          <w:lang w:eastAsia="hr-HR"/>
        </w:rPr>
        <w:t>r</w:t>
      </w:r>
      <w:r w:rsidR="008238F3" w:rsidRPr="00DE7FD3">
        <w:rPr>
          <w:rFonts w:asciiTheme="majorBidi" w:eastAsia="Times New Roman" w:hAnsiTheme="majorBidi" w:cstheme="majorBidi"/>
          <w:spacing w:val="-3"/>
          <w:position w:val="1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tet</w:t>
      </w:r>
      <w:r w:rsidR="008238F3" w:rsidRPr="00DE7FD3">
        <w:rPr>
          <w:rFonts w:asciiTheme="majorBidi" w:eastAsia="Times New Roman" w:hAnsiTheme="majorBidi" w:cstheme="majorBidi"/>
          <w:spacing w:val="-5"/>
          <w:position w:val="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 xml:space="preserve">i 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sveti prostor,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Prilozi za orijentalnu filologiju,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Orijentalni institut u Sarajevu, (2015): 51-87.</w:t>
      </w: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</w:p>
    <w:p w:rsidR="008238F3" w:rsidRPr="00DE7FD3" w:rsidRDefault="0040547A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25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Online Bosniak hajj narratives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, u: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Muslim Pilgrimage in Europe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ur. Ingvild Flaskerud, Richard J. Natvig, Routledge, 2018, pp. 58-69.</w:t>
      </w: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238F3" w:rsidRPr="00DE7FD3" w:rsidRDefault="0040547A" w:rsidP="00DE7F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 w:right="122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="008238F3" w:rsidRPr="00DE7FD3">
        <w:rPr>
          <w:rFonts w:asciiTheme="majorBidi" w:eastAsia="Times New Roman" w:hAnsiTheme="majorBidi" w:cstheme="majorBidi"/>
          <w:spacing w:val="-15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Many</w:t>
      </w:r>
      <w:r w:rsidR="008238F3" w:rsidRPr="00DE7FD3">
        <w:rPr>
          <w:rFonts w:asciiTheme="majorBidi" w:eastAsia="Times New Roman" w:hAnsiTheme="majorBidi" w:cstheme="majorBidi"/>
          <w:spacing w:val="-13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Faces</w:t>
      </w:r>
      <w:r w:rsidR="008238F3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8238F3" w:rsidRPr="00DE7FD3">
        <w:rPr>
          <w:rFonts w:asciiTheme="majorBidi" w:eastAsia="Times New Roman" w:hAnsiTheme="majorBidi" w:cstheme="majorBidi"/>
          <w:spacing w:val="-16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Cairo:</w:t>
      </w:r>
      <w:r w:rsidR="008238F3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Bosnian</w:t>
      </w:r>
      <w:r w:rsidR="008238F3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Muslims</w:t>
      </w:r>
      <w:r w:rsidR="008238F3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="008238F3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their</w:t>
      </w:r>
      <w:r w:rsidR="008238F3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Re-imagination(s)</w:t>
      </w:r>
      <w:r w:rsidR="008238F3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8238F3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="008238F3" w:rsidRPr="00DE7FD3">
        <w:rPr>
          <w:rFonts w:asciiTheme="majorBidi" w:eastAsia="Times New Roman" w:hAnsiTheme="majorBidi" w:cstheme="majorBidi"/>
          <w:spacing w:val="-14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Identitarian</w:t>
      </w:r>
      <w:r w:rsidR="008238F3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Centre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u:</w:t>
      </w:r>
      <w:r w:rsidR="008238F3" w:rsidRPr="00DE7FD3">
        <w:rPr>
          <w:rFonts w:asciiTheme="majorBidi" w:eastAsia="Times New Roman" w:hAnsiTheme="majorBidi" w:cstheme="majorBidi"/>
          <w:spacing w:val="-10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Muslims</w:t>
      </w:r>
      <w:r w:rsidR="008238F3" w:rsidRPr="00DE7FD3">
        <w:rPr>
          <w:rFonts w:asciiTheme="majorBidi" w:eastAsia="Times New Roman" w:hAnsiTheme="majorBidi" w:cstheme="majorBidi"/>
          <w:i/>
          <w:iCs/>
          <w:spacing w:val="-5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in</w:t>
      </w:r>
      <w:r w:rsidR="008238F3" w:rsidRPr="00DE7FD3">
        <w:rPr>
          <w:rFonts w:asciiTheme="majorBidi" w:eastAsia="Times New Roman" w:hAnsiTheme="majorBidi" w:cstheme="majorBidi"/>
          <w:i/>
          <w:iCs/>
          <w:spacing w:val="-7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the</w:t>
      </w:r>
      <w:r w:rsidR="008238F3" w:rsidRPr="00DE7FD3">
        <w:rPr>
          <w:rFonts w:asciiTheme="majorBidi" w:eastAsia="Times New Roman" w:hAnsiTheme="majorBidi" w:cstheme="majorBidi"/>
          <w:i/>
          <w:iCs/>
          <w:spacing w:val="-6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UK</w:t>
      </w:r>
      <w:r w:rsidR="008238F3" w:rsidRPr="00DE7FD3">
        <w:rPr>
          <w:rFonts w:asciiTheme="majorBidi" w:eastAsia="Times New Roman" w:hAnsiTheme="majorBidi" w:cstheme="majorBidi"/>
          <w:i/>
          <w:iCs/>
          <w:spacing w:val="-8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and</w:t>
      </w:r>
      <w:r w:rsidR="008238F3" w:rsidRPr="00DE7FD3">
        <w:rPr>
          <w:rFonts w:asciiTheme="majorBidi" w:eastAsia="Times New Roman" w:hAnsiTheme="majorBidi" w:cstheme="majorBidi"/>
          <w:i/>
          <w:iCs/>
          <w:spacing w:val="-7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Europe</w:t>
      </w:r>
      <w:r w:rsidR="008238F3" w:rsidRPr="00DE7FD3">
        <w:rPr>
          <w:rFonts w:asciiTheme="majorBidi" w:eastAsia="Times New Roman" w:hAnsiTheme="majorBidi" w:cstheme="majorBidi"/>
          <w:i/>
          <w:iCs/>
          <w:spacing w:val="-7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II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(ur.</w:t>
      </w:r>
      <w:r w:rsidR="008238F3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Yasir</w:t>
      </w:r>
      <w:r w:rsidR="008238F3" w:rsidRPr="00DE7FD3">
        <w:rPr>
          <w:rFonts w:asciiTheme="majorBidi" w:eastAsia="Times New Roman" w:hAnsiTheme="majorBidi" w:cstheme="majorBidi"/>
          <w:spacing w:val="-10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Suleiman</w:t>
      </w:r>
      <w:r w:rsidR="008238F3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</w:t>
      </w:r>
      <w:r w:rsidR="008238F3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Paul</w:t>
      </w:r>
      <w:r w:rsidR="008238F3" w:rsidRPr="00DE7FD3">
        <w:rPr>
          <w:rFonts w:asciiTheme="majorBidi" w:eastAsia="Times New Roman" w:hAnsiTheme="majorBidi" w:cstheme="majorBidi"/>
          <w:spacing w:val="-10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Anderson),</w:t>
      </w:r>
      <w:r w:rsidR="008238F3" w:rsidRPr="00DE7FD3">
        <w:rPr>
          <w:rFonts w:asciiTheme="majorBidi" w:eastAsia="Times New Roman" w:hAnsiTheme="majorBidi" w:cstheme="majorBidi"/>
          <w:spacing w:val="-10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Centre</w:t>
      </w:r>
      <w:r w:rsidR="008238F3" w:rsidRPr="00DE7FD3">
        <w:rPr>
          <w:rFonts w:asciiTheme="majorBidi" w:eastAsia="Times New Roman" w:hAnsiTheme="majorBidi" w:cstheme="majorBidi"/>
          <w:spacing w:val="-2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8238F3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Islamic</w:t>
      </w:r>
      <w:r w:rsidR="008238F3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Studies, University of Cambridge, 2016, pp.</w:t>
      </w:r>
      <w:r w:rsidR="008238F3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8238F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159-168.</w:t>
      </w:r>
    </w:p>
    <w:p w:rsidR="00476963" w:rsidRPr="00DE7FD3" w:rsidRDefault="00476963" w:rsidP="00DE7F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22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238F3" w:rsidRPr="003D6E72" w:rsidRDefault="008C5752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outlineLvl w:val="5"/>
        <w:rPr>
          <w:rFonts w:asciiTheme="majorBidi" w:eastAsia="Times New Roman" w:hAnsiTheme="majorBidi" w:cstheme="majorBidi"/>
          <w:b/>
          <w:bCs/>
          <w:lang w:eastAsia="hr-HR"/>
        </w:rPr>
      </w:pPr>
      <w:r>
        <w:rPr>
          <w:rFonts w:asciiTheme="majorBidi" w:eastAsia="Times New Roman" w:hAnsiTheme="majorBidi" w:cstheme="majorBidi"/>
          <w:b/>
          <w:bCs/>
          <w:lang w:eastAsia="hr-HR"/>
        </w:rPr>
        <w:lastRenderedPageBreak/>
        <w:t xml:space="preserve">                   </w:t>
      </w:r>
      <w:r w:rsidR="0010109D" w:rsidRPr="003D6E72">
        <w:rPr>
          <w:rFonts w:asciiTheme="majorBidi" w:eastAsia="Times New Roman" w:hAnsiTheme="majorBidi" w:cstheme="majorBidi"/>
          <w:b/>
          <w:bCs/>
          <w:lang w:eastAsia="hr-HR"/>
        </w:rPr>
        <w:t>P</w:t>
      </w:r>
      <w:r w:rsidR="008238F3" w:rsidRPr="003D6E72">
        <w:rPr>
          <w:rFonts w:asciiTheme="majorBidi" w:eastAsia="Times New Roman" w:hAnsiTheme="majorBidi" w:cstheme="majorBidi"/>
          <w:b/>
          <w:bCs/>
          <w:lang w:eastAsia="hr-HR"/>
        </w:rPr>
        <w:t>rikazi</w:t>
      </w:r>
      <w:r w:rsidR="0010109D" w:rsidRPr="003D6E72">
        <w:rPr>
          <w:rFonts w:asciiTheme="majorBidi" w:eastAsia="Times New Roman" w:hAnsiTheme="majorBidi" w:cstheme="majorBidi"/>
          <w:b/>
          <w:bCs/>
          <w:lang w:eastAsia="hr-HR"/>
        </w:rPr>
        <w:t xml:space="preserve"> objavljeni u toku perioda reizbora (2014-2018)</w:t>
      </w: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Paul L. Heck,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Skepticism in Classical Islam: Moments of Confusion,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Routledge, London and New York, 2014. U: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Prilozi za orijentalnu filologiju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br. 64, 2015, str. 546-549.</w:t>
      </w:r>
    </w:p>
    <w:p w:rsidR="008238F3" w:rsidRPr="00DE7FD3" w:rsidRDefault="00921539" w:rsidP="00DE7FD3">
      <w:pPr>
        <w:widowControl w:val="0"/>
        <w:tabs>
          <w:tab w:val="left" w:pos="6373"/>
        </w:tabs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ab/>
      </w: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66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Rebecca R. Williams,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Muhammad and the Supernatural: Medieval Arab Views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, Routledge, London and New York, 2013. U: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Prilozi za orijentalnu filologiju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br. 64, 2015, str. 550-551.</w:t>
      </w: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238F3" w:rsidRPr="00DE7FD3" w:rsidRDefault="008238F3" w:rsidP="00DE7F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Unity in Diversity: </w:t>
      </w:r>
      <w:r w:rsidRPr="0040547A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Mysticism, Messianism and the Construction of Religious Authority in Islam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(ur. Orkhan Mir-Kasimov), Brill, Leiden-Boston, 2014. U: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Prilozi za orijentalnu filologiju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br. 64, 2015, str. 552-555</w:t>
      </w:r>
    </w:p>
    <w:p w:rsidR="008238F3" w:rsidRDefault="008238F3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C5752" w:rsidRDefault="008C5752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C5752" w:rsidRPr="008C5752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6" w:lineRule="auto"/>
        <w:ind w:left="100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hr-HR"/>
        </w:rPr>
      </w:pPr>
      <w:r w:rsidRPr="008C57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hr-HR"/>
        </w:rPr>
        <w:t>Projekti</w:t>
      </w: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6" w:lineRule="auto"/>
        <w:ind w:left="100"/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6" w:lineRule="auto"/>
        <w:ind w:left="100"/>
        <w:jc w:val="both"/>
        <w:outlineLvl w:val="0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Dr. Dženita Karić relizirala je samostalno dva naučna projekta na Orijentalnom institutu u Sarajevu, a u dva naučna projekta na istom institutu učestvovala je kao asistent. </w:t>
      </w: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2010-2014 “Bošnjački hodočasni putopis’’ (samostalno realiziran projekat)</w:t>
      </w: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C5752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48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2014-2018 “Fadailska djela na orijentalnim jezicima u osmanskoj pisanoj tradiciji na</w:t>
      </w: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48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               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Balkanu” (samostalno realiziran projekat)</w:t>
      </w: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C5752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2012-2013 “Jevreji u bosanskohercegovačkoj štampi osmanskog perioda” (asistent na</w:t>
      </w: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                   projektu.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Voditelj projekta dr. Adnan Kadrić)</w:t>
      </w: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C5752" w:rsidRPr="00DE7FD3" w:rsidRDefault="008C5752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33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2014-2015 “Istraživanje života i suživota na osmanskom prigraničju: Bosna kao kontakt zona u ranom novom vijeku’’ (asistent na projektu. Voditeljica projekta dr. Elma Korić)</w:t>
      </w:r>
    </w:p>
    <w:p w:rsidR="008C5752" w:rsidRDefault="008C5752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C5752" w:rsidRPr="00DE7FD3" w:rsidRDefault="008C5752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76963" w:rsidRDefault="0010109D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10109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Prijevodi </w:t>
      </w:r>
    </w:p>
    <w:p w:rsidR="008C5752" w:rsidRDefault="008C5752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3679DF" w:rsidRDefault="003679DF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>Pored prijevoda većeg broja članaka Dr. Dženita Karić prevela je na bos</w:t>
      </w:r>
      <w:r w:rsidR="0078142A" w:rsidRPr="00DE7FD3">
        <w:rPr>
          <w:rFonts w:asciiTheme="majorBidi" w:hAnsiTheme="majorBidi" w:cstheme="majorBidi"/>
          <w:sz w:val="24"/>
          <w:szCs w:val="24"/>
          <w:lang w:val="bs-Latn-BA"/>
        </w:rPr>
        <w:t>anski jezik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sljedeće knjige:</w:t>
      </w:r>
    </w:p>
    <w:p w:rsidR="0010109D" w:rsidRPr="00DE7FD3" w:rsidRDefault="0010109D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10109D" w:rsidRDefault="003679DF" w:rsidP="0010109D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Martin</w:t>
      </w:r>
      <w:r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Lings,</w:t>
      </w:r>
      <w:r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A</w:t>
      </w:r>
      <w:r w:rsidRPr="00DE7FD3">
        <w:rPr>
          <w:rFonts w:asciiTheme="majorBidi" w:eastAsia="Times New Roman" w:hAnsiTheme="majorBidi" w:cstheme="majorBidi"/>
          <w:i/>
          <w:iCs/>
          <w:spacing w:val="-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Sufi</w:t>
      </w:r>
      <w:r w:rsidRPr="00DE7FD3">
        <w:rPr>
          <w:rFonts w:asciiTheme="majorBidi" w:eastAsia="Times New Roman" w:hAnsiTheme="majorBidi" w:cstheme="majorBidi"/>
          <w:i/>
          <w:iCs/>
          <w:spacing w:val="-6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Saint</w:t>
      </w:r>
      <w:r w:rsidRPr="00DE7FD3">
        <w:rPr>
          <w:rFonts w:asciiTheme="majorBidi" w:eastAsia="Times New Roman" w:hAnsiTheme="majorBidi" w:cstheme="majorBidi"/>
          <w:i/>
          <w:iCs/>
          <w:spacing w:val="-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of</w:t>
      </w:r>
      <w:r w:rsidRPr="00DE7FD3">
        <w:rPr>
          <w:rFonts w:asciiTheme="majorBidi" w:eastAsia="Times New Roman" w:hAnsiTheme="majorBidi" w:cstheme="majorBidi"/>
          <w:i/>
          <w:iCs/>
          <w:spacing w:val="-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the</w:t>
      </w:r>
      <w:r w:rsidRPr="00DE7FD3">
        <w:rPr>
          <w:rFonts w:asciiTheme="majorBidi" w:eastAsia="Times New Roman" w:hAnsiTheme="majorBidi" w:cstheme="majorBidi"/>
          <w:i/>
          <w:iCs/>
          <w:spacing w:val="-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Twentieth</w:t>
      </w:r>
      <w:r w:rsidRPr="00DE7FD3">
        <w:rPr>
          <w:rFonts w:asciiTheme="majorBidi" w:eastAsia="Times New Roman" w:hAnsiTheme="majorBidi" w:cstheme="majorBidi"/>
          <w:i/>
          <w:iCs/>
          <w:spacing w:val="-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Century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</w:t>
      </w:r>
      <w:r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prevedeno</w:t>
      </w:r>
      <w:r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na</w:t>
      </w:r>
      <w:r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bosanski</w:t>
      </w:r>
      <w:r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kao:</w:t>
      </w:r>
      <w:r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Martin</w:t>
      </w:r>
      <w:r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Lings,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Sufijski evlija dvadesetog stoljeća : šejh Ahmad al-'Alawi njegovo duhovno nasljedstvo i ostavština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Connectum, Sarajevo,</w:t>
      </w:r>
      <w:r w:rsidRPr="00DE7FD3">
        <w:rPr>
          <w:rFonts w:asciiTheme="majorBidi" w:eastAsia="Times New Roman" w:hAnsiTheme="majorBidi" w:cstheme="majorBidi"/>
          <w:spacing w:val="-1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2015.</w:t>
      </w:r>
    </w:p>
    <w:p w:rsidR="008C5752" w:rsidRPr="0010109D" w:rsidRDefault="008C5752" w:rsidP="0010109D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Default="003679DF" w:rsidP="00DE7FD3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Bernard Lewis,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The Assassins: A Radical Sect in Islam,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prevedeno na bosanski kao: Bernard Lewis,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Otkriće asasina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Connectum, Sarajevo, 2010.</w:t>
      </w:r>
    </w:p>
    <w:p w:rsidR="0010109D" w:rsidRPr="00DE7FD3" w:rsidRDefault="0010109D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Mustansir</w:t>
      </w:r>
      <w:r w:rsidRPr="00DE7FD3">
        <w:rPr>
          <w:rFonts w:asciiTheme="majorBidi" w:eastAsia="Times New Roman" w:hAnsiTheme="majorBidi" w:cstheme="majorBidi"/>
          <w:spacing w:val="-1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Mir,</w:t>
      </w:r>
      <w:r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Iqbal</w:t>
      </w:r>
      <w:r w:rsidRPr="00DE7FD3">
        <w:rPr>
          <w:rFonts w:asciiTheme="majorBidi" w:eastAsia="Times New Roman" w:hAnsiTheme="majorBidi" w:cstheme="majorBidi"/>
          <w:i/>
          <w:iCs/>
          <w:spacing w:val="-1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(Makers</w:t>
      </w:r>
      <w:r w:rsidRPr="00DE7FD3">
        <w:rPr>
          <w:rFonts w:asciiTheme="majorBidi" w:eastAsia="Times New Roman" w:hAnsiTheme="majorBidi" w:cstheme="majorBidi"/>
          <w:i/>
          <w:iCs/>
          <w:spacing w:val="-1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of</w:t>
      </w:r>
      <w:r w:rsidRPr="00DE7FD3">
        <w:rPr>
          <w:rFonts w:asciiTheme="majorBidi" w:eastAsia="Times New Roman" w:hAnsiTheme="majorBidi" w:cstheme="majorBidi"/>
          <w:i/>
          <w:iCs/>
          <w:spacing w:val="-1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Islamic</w:t>
      </w:r>
      <w:r w:rsidRPr="00DE7FD3">
        <w:rPr>
          <w:rFonts w:asciiTheme="majorBidi" w:eastAsia="Times New Roman" w:hAnsiTheme="majorBidi" w:cstheme="majorBidi"/>
          <w:i/>
          <w:iCs/>
          <w:spacing w:val="-11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Civilization)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</w:t>
      </w:r>
      <w:r w:rsidRPr="00DE7FD3">
        <w:rPr>
          <w:rFonts w:asciiTheme="majorBidi" w:eastAsia="Times New Roman" w:hAnsiTheme="majorBidi" w:cstheme="majorBidi"/>
          <w:spacing w:val="-1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prevedeno</w:t>
      </w:r>
      <w:r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na</w:t>
      </w:r>
      <w:r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bosanski</w:t>
      </w:r>
      <w:r w:rsidRPr="00DE7FD3">
        <w:rPr>
          <w:rFonts w:asciiTheme="majorBidi" w:eastAsia="Times New Roman" w:hAnsiTheme="majorBidi" w:cstheme="majorBidi"/>
          <w:spacing w:val="-1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kao</w:t>
      </w:r>
      <w:r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>Ikbal:</w:t>
      </w:r>
      <w:r w:rsidRPr="00DE7FD3">
        <w:rPr>
          <w:rFonts w:asciiTheme="majorBidi" w:eastAsia="Times New Roman" w:hAnsiTheme="majorBidi" w:cstheme="majorBidi"/>
          <w:i/>
          <w:iCs/>
          <w:spacing w:val="-9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t xml:space="preserve">Velikan </w:t>
      </w:r>
      <w:r w:rsidRPr="00DE7FD3">
        <w:rPr>
          <w:rFonts w:asciiTheme="majorBidi" w:eastAsia="Times New Roman" w:hAnsiTheme="majorBidi" w:cstheme="majorBidi"/>
          <w:i/>
          <w:iCs/>
          <w:sz w:val="24"/>
          <w:szCs w:val="24"/>
          <w:lang w:eastAsia="hr-HR"/>
        </w:rPr>
        <w:lastRenderedPageBreak/>
        <w:t xml:space="preserve">islamske civilizacije,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Tugra, Sarajevo,</w:t>
      </w:r>
      <w:r w:rsidRPr="00DE7FD3">
        <w:rPr>
          <w:rFonts w:asciiTheme="majorBidi" w:eastAsia="Times New Roman" w:hAnsiTheme="majorBidi" w:cstheme="majorBidi"/>
          <w:spacing w:val="1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2008.</w:t>
      </w: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8C5752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hr-HR"/>
        </w:rPr>
      </w:pPr>
      <w:r w:rsidRPr="008C5752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hr-HR"/>
        </w:rPr>
        <w:t>Naučni skupovi</w:t>
      </w: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/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</w:p>
    <w:p w:rsidR="003679DF" w:rsidRPr="00DE7FD3" w:rsidRDefault="003679DF" w:rsidP="003D6E7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/>
        <w:jc w:val="both"/>
        <w:outlineLvl w:val="0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Dr. Dženita Karić učestvovala je na ve</w:t>
      </w:r>
      <w:r w:rsidR="003B70FC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likom broju naučnih skupova na univerzitetima i istraživačkim centrima u Bosni i Herceg</w:t>
      </w:r>
      <w:r w:rsidR="0010109D">
        <w:rPr>
          <w:rFonts w:asciiTheme="majorBidi" w:eastAsia="Times New Roman" w:hAnsiTheme="majorBidi" w:cstheme="majorBidi"/>
          <w:sz w:val="24"/>
          <w:szCs w:val="24"/>
          <w:lang w:eastAsia="hr-HR"/>
        </w:rPr>
        <w:t>o</w:t>
      </w:r>
      <w:r w:rsidR="003B70FC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vini, Velikoj Britaniji, Saudijskoj Arabiji, Holandiji, Njemačkoj, Italiji i Norveškoj. Referati koje je prezentirala na tim skupovima obrađuju pitanja iz oblasti arabistike, </w:t>
      </w:r>
      <w:r w:rsidR="00F549D7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kulturne historije Bosne i Hercegovine</w:t>
      </w:r>
      <w:r w:rsidR="0010109D">
        <w:rPr>
          <w:rFonts w:asciiTheme="majorBidi" w:eastAsia="Times New Roman" w:hAnsiTheme="majorBidi" w:cstheme="majorBidi"/>
          <w:sz w:val="24"/>
          <w:szCs w:val="24"/>
          <w:lang w:eastAsia="hr-HR"/>
        </w:rPr>
        <w:t>,</w:t>
      </w:r>
      <w:r w:rsidR="00F549D7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s naglasnom na kulturološkim i povijesnim aspektima hadža i pitanjima vezanim za rukopisnu b</w:t>
      </w:r>
      <w:r w:rsidR="00DE7FD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aštinu na orijentalnim jezicima, a tretirala je i</w:t>
      </w:r>
      <w:r w:rsidR="00F549D7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pitanja vezana za položaj </w:t>
      </w:r>
      <w:r w:rsidR="00DE7FD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islama u Evropi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. </w:t>
      </w:r>
      <w:r w:rsidR="003D6E72">
        <w:rPr>
          <w:rFonts w:asciiTheme="majorBidi" w:eastAsia="Times New Roman" w:hAnsiTheme="majorBidi" w:cstheme="majorBidi"/>
          <w:sz w:val="24"/>
          <w:szCs w:val="24"/>
          <w:lang w:eastAsia="hr-HR"/>
        </w:rPr>
        <w:t>U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čestvovala</w:t>
      </w:r>
      <w:r w:rsidR="003D6E7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je i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u organizaciji jedne konferncije na Department of the Languages and Cultures of the Near and Middle East, SOAS, London. </w:t>
      </w:r>
    </w:p>
    <w:p w:rsidR="00DE7FD3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/>
        <w:jc w:val="both"/>
        <w:outlineLvl w:val="0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8C5752" w:rsidRDefault="008C5752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b/>
          <w:bCs/>
          <w:lang w:eastAsia="hr-HR"/>
        </w:rPr>
      </w:pPr>
      <w:r w:rsidRPr="008C5752">
        <w:rPr>
          <w:rFonts w:asciiTheme="majorBidi" w:eastAsia="Times New Roman" w:hAnsiTheme="majorBidi" w:cstheme="majorBidi"/>
          <w:b/>
          <w:bCs/>
          <w:lang w:eastAsia="hr-HR"/>
        </w:rPr>
        <w:t xml:space="preserve">            </w:t>
      </w:r>
      <w:r w:rsidR="00DE7FD3" w:rsidRPr="008C5752">
        <w:rPr>
          <w:rFonts w:asciiTheme="majorBidi" w:eastAsia="Times New Roman" w:hAnsiTheme="majorBidi" w:cstheme="majorBidi"/>
          <w:b/>
          <w:bCs/>
          <w:lang w:eastAsia="hr-HR"/>
        </w:rPr>
        <w:t>Učešće u organiziranju naučnih skupova</w:t>
      </w:r>
    </w:p>
    <w:p w:rsidR="003679DF" w:rsidRPr="008C5752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lang w:eastAsia="hr-HR"/>
        </w:rPr>
      </w:pPr>
    </w:p>
    <w:p w:rsidR="003679DF" w:rsidRPr="00DE7FD3" w:rsidRDefault="003679DF" w:rsidP="008C57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Research in Languages and Cultures of the Near and Middle East at SOAS: "Connectivity over Space and Time" - Research Student Conference, Department of the Languages and Cultures of the Near and Middle East, SOAS, London, 24. februar 2017. (suorganizator)</w:t>
      </w:r>
    </w:p>
    <w:p w:rsidR="008C5752" w:rsidRDefault="008C5752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8C5752" w:rsidRPr="008C5752" w:rsidRDefault="008C5752" w:rsidP="008C5752">
      <w:pPr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8C5752" w:rsidP="00DE7FD3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6" w:lineRule="auto"/>
        <w:ind w:left="100" w:right="1161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40547A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Arabic Sufi texts in classical period’’ – čitalačka grupa, SOAS, London, akademska 2016/2017 (suorganizator)</w:t>
      </w: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8C5752" w:rsidRDefault="008C5752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outlineLvl w:val="0"/>
        <w:rPr>
          <w:rFonts w:asciiTheme="majorBidi" w:eastAsia="Times New Roman" w:hAnsiTheme="majorBidi" w:cstheme="majorBidi"/>
          <w:b/>
          <w:bCs/>
          <w:lang w:eastAsia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 xml:space="preserve">               </w:t>
      </w:r>
      <w:r w:rsidR="003679DF" w:rsidRPr="008C5752">
        <w:rPr>
          <w:rFonts w:asciiTheme="majorBidi" w:eastAsia="Times New Roman" w:hAnsiTheme="majorBidi" w:cstheme="majorBidi"/>
          <w:b/>
          <w:bCs/>
          <w:lang w:eastAsia="hr-HR"/>
        </w:rPr>
        <w:t>Učešće</w:t>
      </w:r>
      <w:r w:rsidR="00DE7FD3" w:rsidRPr="008C5752">
        <w:rPr>
          <w:rFonts w:asciiTheme="majorBidi" w:eastAsia="Times New Roman" w:hAnsiTheme="majorBidi" w:cstheme="majorBidi"/>
          <w:b/>
          <w:bCs/>
          <w:lang w:eastAsia="hr-HR"/>
        </w:rPr>
        <w:t xml:space="preserve"> na naučnim skupovima</w:t>
      </w: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76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 w:right="11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From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fiqh</w:t>
      </w:r>
      <w:r w:rsidR="003679DF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manuals</w:t>
      </w:r>
      <w:r w:rsidR="003679DF"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to</w:t>
      </w:r>
      <w:r w:rsidR="003679DF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travelogues: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Sources</w:t>
      </w:r>
      <w:r w:rsidR="003679DF" w:rsidRPr="00DE7FD3">
        <w:rPr>
          <w:rFonts w:asciiTheme="majorBidi" w:eastAsia="Times New Roman" w:hAnsiTheme="majorBidi" w:cstheme="majorBidi"/>
          <w:spacing w:val="-2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for</w:t>
      </w:r>
      <w:r w:rsidR="003679DF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="003679DF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study</w:t>
      </w:r>
      <w:r w:rsidR="003679DF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female</w:t>
      </w:r>
      <w:r w:rsidR="003679DF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pilgrimage</w:t>
      </w:r>
      <w:r w:rsidR="003679DF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in</w:t>
      </w:r>
      <w:r w:rsidR="003679DF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premodern Islam’’, Women and Pilgrimage in the Ancient and Pre-Modern World, Univerzitet u Amsterdamu, 7.-9. juni</w:t>
      </w:r>
      <w:r w:rsidR="003679DF"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2018.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 w:right="11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5" w:firstLine="52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“Between Holy Land &amp; Homeland: Post-World War II Hajj Writings of Bosnian Muslims.”, Makkah</w:t>
      </w:r>
      <w:r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Hijaz</w:t>
      </w:r>
      <w:r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in</w:t>
      </w:r>
      <w:r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Imperial-era:</w:t>
      </w:r>
      <w:r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Migrations</w:t>
      </w:r>
      <w:r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Scholarly</w:t>
      </w:r>
      <w:r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Networks</w:t>
      </w:r>
      <w:r w:rsidRPr="00DE7FD3">
        <w:rPr>
          <w:rFonts w:asciiTheme="majorBidi" w:eastAsia="Times New Roman" w:hAnsiTheme="majorBidi" w:cstheme="majorBidi"/>
          <w:spacing w:val="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in</w:t>
      </w:r>
      <w:r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Pr="00DE7FD3">
        <w:rPr>
          <w:rFonts w:asciiTheme="majorBidi" w:eastAsia="Times New Roman" w:hAnsiTheme="majorBidi" w:cstheme="majorBidi"/>
          <w:spacing w:val="-3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19th</w:t>
      </w:r>
      <w:r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 20th Centuries, King Faisal Center for Research and Islamic Studies, Riyadh, KSA, 6.-7. decembar</w:t>
      </w:r>
      <w:r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2017.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5" w:firstLine="52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tabs>
          <w:tab w:val="left" w:pos="2476"/>
          <w:tab w:val="left" w:pos="4417"/>
          <w:tab w:val="left" w:pos="6308"/>
          <w:tab w:val="left" w:pos="857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20"/>
        <w:jc w:val="both"/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Finding the Lost Andalusia: Reading Abdulhak Hamit Tarhan’s ‘’Tarik’’ in Its Multiple Echoes’’, Circulating translations in the 19th Century from the Eastern Mediterranean to the Arabian Sea: Texts in practice, Oriental Institute and The Oxford Centre for Research in the Humanities, Oxford,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ab/>
        <w:t>20.-22. septembar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ab/>
      </w:r>
      <w:r w:rsidR="003679DF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>2017.</w:t>
      </w:r>
    </w:p>
    <w:p w:rsidR="003B70FC" w:rsidRPr="00DE7FD3" w:rsidRDefault="003B70FC" w:rsidP="00DE7FD3">
      <w:pPr>
        <w:widowControl w:val="0"/>
        <w:tabs>
          <w:tab w:val="left" w:pos="2476"/>
          <w:tab w:val="left" w:pos="4417"/>
          <w:tab w:val="left" w:pos="6308"/>
          <w:tab w:val="left" w:pos="857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20"/>
        <w:jc w:val="both"/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The</w:t>
      </w:r>
      <w:r w:rsidR="003679DF" w:rsidRPr="00DE7FD3">
        <w:rPr>
          <w:rFonts w:asciiTheme="majorBidi" w:eastAsia="Times New Roman" w:hAnsiTheme="majorBidi" w:cstheme="majorBidi"/>
          <w:spacing w:val="19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pacing w:val="-11"/>
          <w:position w:val="1"/>
          <w:sz w:val="24"/>
          <w:szCs w:val="24"/>
          <w:lang w:eastAsia="hr-HR"/>
        </w:rPr>
        <w:t>H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>̣</w:t>
      </w:r>
      <w:r w:rsidR="003679DF" w:rsidRPr="00DE7FD3">
        <w:rPr>
          <w:rFonts w:asciiTheme="majorBidi" w:eastAsia="Times New Roman" w:hAnsiTheme="majorBidi" w:cstheme="majorBidi"/>
          <w:spacing w:val="-11"/>
          <w:position w:val="1"/>
          <w:sz w:val="24"/>
          <w:szCs w:val="24"/>
          <w:lang w:eastAsia="hr-HR"/>
        </w:rPr>
        <w:t>adit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>̄</w:t>
      </w:r>
      <w:r w:rsidR="003679DF" w:rsidRPr="00DE7FD3">
        <w:rPr>
          <w:rFonts w:asciiTheme="majorBidi" w:eastAsia="Times New Roman" w:hAnsiTheme="majorBidi" w:cstheme="majorBidi"/>
          <w:spacing w:val="-2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h</w:t>
      </w:r>
      <w:r w:rsidR="003679DF" w:rsidRPr="00DE7FD3">
        <w:rPr>
          <w:rFonts w:asciiTheme="majorBidi" w:eastAsia="Times New Roman" w:hAnsiTheme="majorBidi" w:cstheme="majorBidi"/>
          <w:spacing w:val="21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as</w:t>
      </w:r>
      <w:r w:rsidR="003679DF" w:rsidRPr="00DE7FD3">
        <w:rPr>
          <w:rFonts w:asciiTheme="majorBidi" w:eastAsia="Times New Roman" w:hAnsiTheme="majorBidi" w:cstheme="majorBidi"/>
          <w:spacing w:val="19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an</w:t>
      </w:r>
      <w:r w:rsidR="003679DF" w:rsidRPr="00DE7FD3">
        <w:rPr>
          <w:rFonts w:asciiTheme="majorBidi" w:eastAsia="Times New Roman" w:hAnsiTheme="majorBidi" w:cstheme="majorBidi"/>
          <w:spacing w:val="21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Argument:</w:t>
      </w:r>
      <w:r w:rsidR="003679DF" w:rsidRPr="00DE7FD3">
        <w:rPr>
          <w:rFonts w:asciiTheme="majorBidi" w:eastAsia="Times New Roman" w:hAnsiTheme="majorBidi" w:cstheme="majorBidi"/>
          <w:spacing w:val="21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Shaping</w:t>
      </w:r>
      <w:r w:rsidR="003679DF" w:rsidRPr="00DE7FD3">
        <w:rPr>
          <w:rFonts w:asciiTheme="majorBidi" w:eastAsia="Times New Roman" w:hAnsiTheme="majorBidi" w:cstheme="majorBidi"/>
          <w:spacing w:val="19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the</w:t>
      </w:r>
      <w:r w:rsidR="003679DF" w:rsidRPr="00DE7FD3">
        <w:rPr>
          <w:rFonts w:asciiTheme="majorBidi" w:eastAsia="Times New Roman" w:hAnsiTheme="majorBidi" w:cstheme="majorBidi"/>
          <w:spacing w:val="23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Image</w:t>
      </w:r>
      <w:r w:rsidR="003679DF" w:rsidRPr="00DE7FD3">
        <w:rPr>
          <w:rFonts w:asciiTheme="majorBidi" w:eastAsia="Times New Roman" w:hAnsiTheme="majorBidi" w:cstheme="majorBidi"/>
          <w:spacing w:val="18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of</w:t>
      </w:r>
      <w:r w:rsidR="003679DF" w:rsidRPr="00DE7FD3">
        <w:rPr>
          <w:rFonts w:asciiTheme="majorBidi" w:eastAsia="Times New Roman" w:hAnsiTheme="majorBidi" w:cstheme="majorBidi"/>
          <w:spacing w:val="20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Medina</w:t>
      </w:r>
      <w:r w:rsidR="003679DF" w:rsidRPr="00DE7FD3">
        <w:rPr>
          <w:rFonts w:asciiTheme="majorBidi" w:eastAsia="Times New Roman" w:hAnsiTheme="majorBidi" w:cstheme="majorBidi"/>
          <w:spacing w:val="23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in</w:t>
      </w:r>
      <w:r w:rsidR="003679DF" w:rsidRPr="00DE7FD3">
        <w:rPr>
          <w:rFonts w:asciiTheme="majorBidi" w:eastAsia="Times New Roman" w:hAnsiTheme="majorBidi" w:cstheme="majorBidi"/>
          <w:spacing w:val="20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the</w:t>
      </w:r>
      <w:r w:rsidR="003679DF" w:rsidRPr="00DE7FD3">
        <w:rPr>
          <w:rFonts w:asciiTheme="majorBidi" w:eastAsia="Times New Roman" w:hAnsiTheme="majorBidi" w:cstheme="majorBidi"/>
          <w:spacing w:val="19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Ottoman</w:t>
      </w:r>
      <w:r w:rsidR="003679DF" w:rsidRPr="00DE7FD3">
        <w:rPr>
          <w:rFonts w:asciiTheme="majorBidi" w:eastAsia="Times New Roman" w:hAnsiTheme="majorBidi" w:cstheme="majorBidi"/>
          <w:spacing w:val="21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Context’’,</w:t>
      </w:r>
      <w:r w:rsidR="003679DF" w:rsidRPr="00DE7FD3">
        <w:rPr>
          <w:rFonts w:asciiTheme="majorBidi" w:eastAsia="Times New Roman" w:hAnsiTheme="majorBidi" w:cstheme="majorBidi"/>
          <w:spacing w:val="22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>The</w:t>
      </w:r>
      <w:r w:rsidR="003B70FC" w:rsidRPr="00DE7FD3"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British Association for Islamic Studies (BRAIS), Chester, 11.-13. april 2017.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jc w:val="both"/>
        <w:rPr>
          <w:rFonts w:asciiTheme="majorBidi" w:eastAsia="Times New Roman" w:hAnsiTheme="majorBidi" w:cstheme="majorBidi"/>
          <w:position w:val="1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Sacred Spaces and Secured Provinces: Bosnian Hajj Literature and the Making of Local Cosmopolitanism’’,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Spatial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Thought</w:t>
      </w:r>
      <w:r w:rsidR="003679DF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in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Islamicate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Societies,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1000–1600: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Politics</w:t>
      </w:r>
      <w:r w:rsidR="003679DF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3679DF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Genre, Image, and Text, Tübingen, Njemačka, april</w:t>
      </w:r>
      <w:r w:rsidR="003679DF" w:rsidRPr="00DE7FD3">
        <w:rPr>
          <w:rFonts w:asciiTheme="majorBidi" w:eastAsia="Times New Roman" w:hAnsiTheme="majorBidi" w:cstheme="majorBidi"/>
          <w:spacing w:val="-19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2017.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 search for the barakat: the self, the body and the holy places in the Ottoman Bosnian Hajj literature’’, 'Islam, the body and the self', NISIS Spring School, Sarajevo, 13.-17. mart 2017.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tabs>
          <w:tab w:val="left" w:pos="2192"/>
          <w:tab w:val="left" w:pos="4501"/>
          <w:tab w:val="left" w:pos="6325"/>
          <w:tab w:val="left" w:pos="856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Borrowings and genres: Hajj imagery in the Ottoman context’’, Research in Languages and Cultures</w:t>
      </w:r>
      <w:r w:rsidR="003679DF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3679DF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="003679DF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Near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="003679DF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Middle</w:t>
      </w:r>
      <w:r w:rsidR="003679DF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East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at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SOAS: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"Connectivity</w:t>
      </w:r>
      <w:r w:rsidR="003679DF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over</w:t>
      </w:r>
      <w:r w:rsidR="003679DF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Space</w:t>
      </w:r>
      <w:r w:rsidR="003679DF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Time"</w:t>
      </w:r>
      <w:r w:rsidR="003679DF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-</w:t>
      </w:r>
      <w:r w:rsidR="003679DF" w:rsidRPr="00DE7FD3">
        <w:rPr>
          <w:rFonts w:asciiTheme="majorBidi" w:eastAsia="Times New Roman" w:hAnsiTheme="majorBidi" w:cstheme="majorBidi"/>
          <w:spacing w:val="-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Research Student</w:t>
      </w:r>
      <w:r w:rsidR="003679DF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Conference,</w:t>
      </w:r>
      <w:r w:rsidR="003679DF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Department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Languages</w:t>
      </w:r>
      <w:r w:rsidR="003679DF" w:rsidRPr="00DE7FD3">
        <w:rPr>
          <w:rFonts w:asciiTheme="majorBidi" w:eastAsia="Times New Roman" w:hAnsiTheme="majorBidi" w:cstheme="majorBidi"/>
          <w:spacing w:val="-7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Cultures</w:t>
      </w:r>
      <w:r w:rsidR="003679DF" w:rsidRPr="00DE7FD3">
        <w:rPr>
          <w:rFonts w:asciiTheme="majorBidi" w:eastAsia="Times New Roman" w:hAnsiTheme="majorBidi" w:cstheme="majorBidi"/>
          <w:spacing w:val="-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of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</w:t>
      </w:r>
      <w:r w:rsidR="003679DF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Near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Middle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B70FC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East, SOAS, London, 24. februar</w:t>
      </w:r>
      <w:r w:rsidR="003679DF" w:rsidRPr="00DE7FD3"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  <w:t>2017.</w:t>
      </w:r>
    </w:p>
    <w:p w:rsidR="003B70FC" w:rsidRPr="00DE7FD3" w:rsidRDefault="003B70FC" w:rsidP="00DE7FD3">
      <w:pPr>
        <w:widowControl w:val="0"/>
        <w:tabs>
          <w:tab w:val="left" w:pos="2192"/>
          <w:tab w:val="left" w:pos="4501"/>
          <w:tab w:val="left" w:pos="6325"/>
          <w:tab w:val="left" w:pos="856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8"/>
        <w:jc w:val="both"/>
        <w:rPr>
          <w:rFonts w:asciiTheme="majorBidi" w:eastAsia="Times New Roman" w:hAnsiTheme="majorBidi" w:cstheme="majorBidi"/>
          <w:spacing w:val="-4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6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Bosnian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ulama’s</w:t>
      </w:r>
      <w:r w:rsidR="003679DF" w:rsidRPr="00DE7FD3">
        <w:rPr>
          <w:rFonts w:asciiTheme="majorBidi" w:eastAsia="Times New Roman" w:hAnsiTheme="majorBidi" w:cstheme="majorBidi"/>
          <w:spacing w:val="-13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quest</w:t>
      </w:r>
      <w:r w:rsidR="003679DF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for</w:t>
      </w:r>
      <w:r w:rsidR="003679DF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authority</w:t>
      </w:r>
      <w:r w:rsidR="003679DF" w:rsidRPr="00DE7FD3">
        <w:rPr>
          <w:rFonts w:asciiTheme="majorBidi" w:eastAsia="Times New Roman" w:hAnsiTheme="majorBidi" w:cstheme="majorBidi"/>
          <w:spacing w:val="-13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="003679DF" w:rsidRPr="00DE7FD3">
        <w:rPr>
          <w:rFonts w:asciiTheme="majorBidi" w:eastAsia="Times New Roman" w:hAnsiTheme="majorBidi" w:cstheme="majorBidi"/>
          <w:spacing w:val="-11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al-Manar’’,</w:t>
      </w:r>
      <w:r w:rsidR="003679DF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Middle</w:t>
      </w:r>
      <w:r w:rsidR="003679DF" w:rsidRPr="00DE7FD3">
        <w:rPr>
          <w:rFonts w:asciiTheme="majorBidi" w:eastAsia="Times New Roman" w:hAnsiTheme="majorBidi" w:cstheme="majorBidi"/>
          <w:spacing w:val="-9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East</w:t>
      </w:r>
      <w:r w:rsidR="003679DF" w:rsidRPr="00DE7FD3">
        <w:rPr>
          <w:rFonts w:asciiTheme="majorBidi" w:eastAsia="Times New Roman" w:hAnsiTheme="majorBidi" w:cstheme="majorBidi"/>
          <w:spacing w:val="-1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Studies</w:t>
      </w:r>
      <w:r w:rsidR="003679DF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Association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(MESA), Boston, USA, 18.-21. novembar</w:t>
      </w:r>
      <w:r w:rsidR="003679DF" w:rsidRPr="00DE7FD3">
        <w:rPr>
          <w:rFonts w:asciiTheme="majorBidi" w:eastAsia="Times New Roman" w:hAnsiTheme="majorBidi" w:cstheme="majorBidi"/>
          <w:spacing w:val="-8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2016.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6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After Literacy: Bosnian Muslim Manuscripts in Politically Marginalized Scripts and Languages’’, Book History Beyond the Book: in Asia, Africa, and the Middle East, Centre for Cultural, Literary and Postcolonial Studies (CCLPS), London, 13. juni 2016.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The Arab Nahda and Bosniak Intellectuals’’, Oxford Nahda Workshop, University of Oxford, 22.-23. April 2015.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9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left="100" w:right="125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Where is our (spiritual) homeland? Identity Search of Bosniak Muslim Intellectuals in the Austro-Hungarian Period’’, The Second Annual Conference of the British Association for Islamic Studies (BRAIS), London, 13.-15. april 2015.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left="100" w:right="125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Report’’, Islam in/and/of Europe? Perspectives from the Middle Ages to the Post-Secular Age, Univerzitet u Trentu, Trento, Italija, 8.-10. oktobar 2015.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B70FC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33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Christians and Jews in Bosnian Ottoman Periodicals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In Search of 550 Years: The Ottoman Legacy</w:t>
      </w:r>
      <w:r w:rsidR="003679DF" w:rsidRPr="00DE7FD3">
        <w:rPr>
          <w:rFonts w:asciiTheme="majorBidi" w:eastAsia="Times New Roman" w:hAnsiTheme="majorBidi" w:cstheme="majorBidi"/>
          <w:spacing w:val="-1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in</w:t>
      </w:r>
      <w:r w:rsidR="003679DF" w:rsidRPr="00DE7FD3">
        <w:rPr>
          <w:rFonts w:asciiTheme="majorBidi" w:eastAsia="Times New Roman" w:hAnsiTheme="majorBidi" w:cstheme="majorBidi"/>
          <w:spacing w:val="-1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Bosnia</w:t>
      </w:r>
      <w:r w:rsidR="003679DF" w:rsidRPr="00DE7FD3">
        <w:rPr>
          <w:rFonts w:asciiTheme="majorBidi" w:eastAsia="Times New Roman" w:hAnsiTheme="majorBidi" w:cstheme="majorBidi"/>
          <w:spacing w:val="-14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and</w:t>
      </w:r>
      <w:r w:rsidR="003679DF" w:rsidRPr="00DE7FD3">
        <w:rPr>
          <w:rFonts w:asciiTheme="majorBidi" w:eastAsia="Times New Roman" w:hAnsiTheme="majorBidi" w:cstheme="majorBidi"/>
          <w:spacing w:val="-1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Herzegovina,</w:t>
      </w:r>
      <w:r w:rsidR="003679DF" w:rsidRPr="00DE7FD3">
        <w:rPr>
          <w:rFonts w:asciiTheme="majorBidi" w:eastAsia="Times New Roman" w:hAnsiTheme="majorBidi" w:cstheme="majorBidi"/>
          <w:spacing w:val="-1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Fatih</w:t>
      </w:r>
      <w:r w:rsidR="003679DF" w:rsidRPr="00DE7FD3">
        <w:rPr>
          <w:rFonts w:asciiTheme="majorBidi" w:eastAsia="Times New Roman" w:hAnsiTheme="majorBidi" w:cstheme="majorBidi"/>
          <w:spacing w:val="-1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Sultan</w:t>
      </w:r>
      <w:r w:rsidR="003679DF" w:rsidRPr="00DE7FD3">
        <w:rPr>
          <w:rFonts w:asciiTheme="majorBidi" w:eastAsia="Times New Roman" w:hAnsiTheme="majorBidi" w:cstheme="majorBidi"/>
          <w:spacing w:val="-1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Mehmet</w:t>
      </w:r>
      <w:r w:rsidR="003679DF"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Waqf</w:t>
      </w:r>
      <w:r w:rsidR="003679DF" w:rsidRPr="00DE7FD3">
        <w:rPr>
          <w:rFonts w:asciiTheme="majorBidi" w:eastAsia="Times New Roman" w:hAnsiTheme="majorBidi" w:cstheme="majorBidi"/>
          <w:spacing w:val="-15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University</w:t>
      </w:r>
      <w:r w:rsidR="003679DF" w:rsidRPr="00DE7FD3">
        <w:rPr>
          <w:rFonts w:asciiTheme="majorBidi" w:eastAsia="Times New Roman" w:hAnsiTheme="majorBidi" w:cstheme="majorBidi"/>
          <w:spacing w:val="-13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in</w:t>
      </w:r>
      <w:r w:rsidR="003679DF" w:rsidRPr="00DE7FD3">
        <w:rPr>
          <w:rFonts w:asciiTheme="majorBidi" w:eastAsia="Times New Roman" w:hAnsiTheme="majorBidi" w:cstheme="majorBidi"/>
          <w:spacing w:val="-10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collaboration</w:t>
      </w:r>
      <w:r w:rsidR="003679DF" w:rsidRPr="00DE7FD3">
        <w:rPr>
          <w:rFonts w:asciiTheme="majorBidi" w:eastAsia="Times New Roman" w:hAnsiTheme="majorBidi" w:cstheme="majorBidi"/>
          <w:spacing w:val="-16"/>
          <w:sz w:val="24"/>
          <w:szCs w:val="24"/>
          <w:lang w:eastAsia="hr-HR"/>
        </w:rPr>
        <w:t xml:space="preserve"> 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with Turkish Historical Society and Yunus Emre Institute, Istanbul, 8.–10.</w:t>
      </w:r>
    </w:p>
    <w:p w:rsidR="003B70FC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33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novembar 2013.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33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3679DF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33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DE7FD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Bosniak 20th Century Hajj Travelogues</w:t>
      </w:r>
      <w:r w:rsidR="00DE7FD3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”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, Workshop on Muslim Pilgrimage in Europe, Univerzitet u Bergenu, Norveška, 3.–4. oktobar</w:t>
      </w:r>
      <w:r w:rsidRPr="00DE7FD3">
        <w:rPr>
          <w:rFonts w:asciiTheme="majorBidi" w:eastAsia="Times New Roman" w:hAnsiTheme="majorBidi" w:cstheme="majorBidi"/>
          <w:spacing w:val="-12"/>
          <w:sz w:val="24"/>
          <w:szCs w:val="24"/>
          <w:lang w:eastAsia="hr-HR"/>
        </w:rPr>
        <w:t xml:space="preserve"> </w:t>
      </w: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2013.</w:t>
      </w:r>
    </w:p>
    <w:p w:rsidR="003B70FC" w:rsidRPr="00DE7FD3" w:rsidRDefault="003B70FC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33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:rsidR="003679DF" w:rsidRPr="00DE7FD3" w:rsidRDefault="00DE7FD3" w:rsidP="00DE7FD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26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“</w:t>
      </w:r>
      <w:r w:rsidR="003679DF" w:rsidRPr="00DE7FD3">
        <w:rPr>
          <w:rFonts w:asciiTheme="majorBidi" w:eastAsia="Times New Roman" w:hAnsiTheme="majorBidi" w:cstheme="majorBidi"/>
          <w:sz w:val="24"/>
          <w:szCs w:val="24"/>
          <w:lang w:eastAsia="hr-HR"/>
        </w:rPr>
        <w:t>Persian classical works in Bosnian periodicals until 1950’’, The Sixth Biennial Convention of the Association for the Study of Persianate Societies (ASPS), Sarajevo, 2.-6. septembar 2013.</w:t>
      </w:r>
    </w:p>
    <w:p w:rsidR="00B97058" w:rsidRPr="00DE7FD3" w:rsidRDefault="00B97058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4EDD" w:rsidRPr="00DE7FD3" w:rsidRDefault="00084EDD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4EDD" w:rsidRDefault="00084EDD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FD3">
        <w:rPr>
          <w:rFonts w:asciiTheme="majorBidi" w:hAnsiTheme="majorBidi" w:cstheme="majorBidi"/>
          <w:sz w:val="24"/>
          <w:szCs w:val="24"/>
        </w:rPr>
        <w:lastRenderedPageBreak/>
        <w:t>PRIJEDLOG</w:t>
      </w:r>
    </w:p>
    <w:p w:rsidR="003D6E72" w:rsidRPr="00DE7FD3" w:rsidRDefault="003D6E72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5613" w:rsidRDefault="00084EDD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FD3">
        <w:rPr>
          <w:rFonts w:asciiTheme="majorBidi" w:hAnsiTheme="majorBidi" w:cstheme="majorBidi"/>
          <w:sz w:val="24"/>
          <w:szCs w:val="24"/>
        </w:rPr>
        <w:t>Na osnovu naprijed iz</w:t>
      </w:r>
      <w:r w:rsidR="00DE7FD3" w:rsidRPr="00DE7FD3">
        <w:rPr>
          <w:rFonts w:asciiTheme="majorBidi" w:hAnsiTheme="majorBidi" w:cstheme="majorBidi"/>
          <w:sz w:val="24"/>
          <w:szCs w:val="24"/>
        </w:rPr>
        <w:t>nesenoga Komisija zaključuje da</w:t>
      </w:r>
      <w:r w:rsidR="006E0BA9" w:rsidRPr="00DE7FD3">
        <w:rPr>
          <w:rFonts w:asciiTheme="majorBidi" w:hAnsiTheme="majorBidi" w:cstheme="majorBidi"/>
          <w:sz w:val="24"/>
          <w:szCs w:val="24"/>
        </w:rPr>
        <w:t xml:space="preserve"> d</w:t>
      </w:r>
      <w:r w:rsidRPr="00DE7FD3">
        <w:rPr>
          <w:rFonts w:asciiTheme="majorBidi" w:hAnsiTheme="majorBidi" w:cstheme="majorBidi"/>
          <w:sz w:val="24"/>
          <w:szCs w:val="24"/>
        </w:rPr>
        <w:t>r. Dženita Karić ispunjava sve uslove previđene Zakonom o naučnoistraživačkoj djelatnosti koji su potrebni za izbor u naučno zvanje</w:t>
      </w:r>
      <w:r w:rsidR="00165613" w:rsidRPr="00DE7FD3">
        <w:rPr>
          <w:rFonts w:asciiTheme="majorBidi" w:hAnsiTheme="majorBidi" w:cstheme="majorBidi"/>
          <w:sz w:val="24"/>
          <w:szCs w:val="24"/>
        </w:rPr>
        <w:t xml:space="preserve"> </w:t>
      </w:r>
      <w:r w:rsidRPr="00DE7FD3">
        <w:rPr>
          <w:rFonts w:asciiTheme="majorBidi" w:hAnsiTheme="majorBidi" w:cstheme="majorBidi"/>
          <w:i/>
          <w:iCs/>
          <w:sz w:val="24"/>
          <w:szCs w:val="24"/>
        </w:rPr>
        <w:t>naučni saradnik</w:t>
      </w:r>
      <w:r w:rsidR="00165613" w:rsidRPr="00DE7FD3">
        <w:rPr>
          <w:rFonts w:asciiTheme="majorBidi" w:hAnsiTheme="majorBidi" w:cstheme="majorBidi"/>
          <w:sz w:val="24"/>
          <w:szCs w:val="24"/>
        </w:rPr>
        <w:t>.</w:t>
      </w:r>
    </w:p>
    <w:p w:rsidR="003D6E72" w:rsidRPr="00DE7FD3" w:rsidRDefault="003D6E72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4EDD" w:rsidRDefault="00165613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7FD3">
        <w:rPr>
          <w:rFonts w:asciiTheme="majorBidi" w:hAnsiTheme="majorBidi" w:cstheme="majorBidi"/>
          <w:b/>
          <w:bCs/>
          <w:sz w:val="24"/>
          <w:szCs w:val="24"/>
        </w:rPr>
        <w:t xml:space="preserve">Komisija </w:t>
      </w:r>
      <w:r w:rsidR="00084EDD" w:rsidRPr="00DE7FD3">
        <w:rPr>
          <w:rFonts w:asciiTheme="majorBidi" w:hAnsiTheme="majorBidi" w:cstheme="majorBidi"/>
          <w:b/>
          <w:bCs/>
          <w:sz w:val="24"/>
          <w:szCs w:val="24"/>
        </w:rPr>
        <w:t xml:space="preserve">predlaže Naučnom vijeću Orijentalnog instituta u Sarajevu da </w:t>
      </w:r>
      <w:r w:rsidR="00EE2CF7" w:rsidRPr="00DE7FD3">
        <w:rPr>
          <w:rFonts w:asciiTheme="majorBidi" w:hAnsiTheme="majorBidi" w:cstheme="majorBidi"/>
          <w:b/>
          <w:bCs/>
          <w:sz w:val="24"/>
          <w:szCs w:val="24"/>
        </w:rPr>
        <w:t xml:space="preserve">se </w:t>
      </w:r>
      <w:r w:rsidR="00084EDD" w:rsidRPr="00DE7FD3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r w:rsidRPr="00DE7FD3">
        <w:rPr>
          <w:rFonts w:asciiTheme="majorBidi" w:hAnsiTheme="majorBidi" w:cstheme="majorBidi"/>
          <w:b/>
          <w:bCs/>
          <w:sz w:val="24"/>
          <w:szCs w:val="24"/>
        </w:rPr>
        <w:t>Dženita</w:t>
      </w:r>
      <w:r w:rsidR="00084EDD" w:rsidRPr="00DE7FD3">
        <w:rPr>
          <w:rFonts w:asciiTheme="majorBidi" w:hAnsiTheme="majorBidi" w:cstheme="majorBidi"/>
          <w:b/>
          <w:bCs/>
          <w:sz w:val="24"/>
          <w:szCs w:val="24"/>
        </w:rPr>
        <w:t xml:space="preserve"> Karić izabere u naučno </w:t>
      </w:r>
      <w:r w:rsidRPr="00DE7FD3">
        <w:rPr>
          <w:rFonts w:asciiTheme="majorBidi" w:hAnsiTheme="majorBidi" w:cstheme="majorBidi"/>
          <w:b/>
          <w:bCs/>
          <w:sz w:val="24"/>
          <w:szCs w:val="24"/>
        </w:rPr>
        <w:t xml:space="preserve">zvanje </w:t>
      </w:r>
      <w:r w:rsidR="00A5057A">
        <w:rPr>
          <w:rFonts w:asciiTheme="majorBidi" w:hAnsiTheme="majorBidi" w:cstheme="majorBidi"/>
          <w:b/>
          <w:bCs/>
          <w:i/>
          <w:iCs/>
          <w:sz w:val="24"/>
          <w:szCs w:val="24"/>
        </w:rPr>
        <w:t>naučni saradnik za oblast A</w:t>
      </w:r>
      <w:bookmarkStart w:id="0" w:name="_GoBack"/>
      <w:bookmarkEnd w:id="0"/>
      <w:r w:rsidRPr="00DE7FD3">
        <w:rPr>
          <w:rFonts w:asciiTheme="majorBidi" w:hAnsiTheme="majorBidi" w:cstheme="majorBidi"/>
          <w:b/>
          <w:bCs/>
          <w:i/>
          <w:iCs/>
          <w:sz w:val="24"/>
          <w:szCs w:val="24"/>
        </w:rPr>
        <w:t>rabistika</w:t>
      </w:r>
      <w:r w:rsidRPr="00DE7FD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0547A" w:rsidRDefault="0040547A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547A" w:rsidRDefault="0040547A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547A" w:rsidRPr="00DE7FD3" w:rsidRDefault="0040547A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5613" w:rsidRPr="00DE7FD3" w:rsidRDefault="00165613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5613" w:rsidRDefault="00165613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FD3">
        <w:rPr>
          <w:rFonts w:asciiTheme="majorBidi" w:hAnsiTheme="majorBidi" w:cstheme="majorBidi"/>
          <w:sz w:val="24"/>
          <w:szCs w:val="24"/>
        </w:rPr>
        <w:t>Sarajevo, 26.12. 2018.</w:t>
      </w:r>
    </w:p>
    <w:p w:rsidR="0040547A" w:rsidRDefault="0040547A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47A" w:rsidRDefault="0040547A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47A" w:rsidRPr="00DE7FD3" w:rsidRDefault="0040547A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5613" w:rsidRPr="00DE7FD3" w:rsidRDefault="00165613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5613" w:rsidRDefault="00165613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FD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KOMISIJA</w:t>
      </w:r>
    </w:p>
    <w:p w:rsidR="0040547A" w:rsidRPr="00DE7FD3" w:rsidRDefault="0040547A" w:rsidP="00DE7FD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5613" w:rsidRPr="00DE7FD3" w:rsidRDefault="00165613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5613" w:rsidRPr="00DE7FD3" w:rsidRDefault="00DE7FD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                                 </w:t>
      </w:r>
      <w:r w:rsidR="003D6E72">
        <w:rPr>
          <w:rFonts w:asciiTheme="majorBidi" w:hAnsiTheme="majorBidi" w:cstheme="majorBidi"/>
          <w:sz w:val="24"/>
          <w:szCs w:val="24"/>
          <w:lang w:val="bs-Latn-BA"/>
        </w:rPr>
        <w:t xml:space="preserve">                  </w:t>
      </w:r>
      <w:r w:rsidR="00165613" w:rsidRPr="00DE7FD3">
        <w:rPr>
          <w:rFonts w:asciiTheme="majorBidi" w:hAnsiTheme="majorBidi" w:cstheme="majorBidi"/>
          <w:sz w:val="24"/>
          <w:szCs w:val="24"/>
          <w:lang w:val="bs-Latn-BA"/>
        </w:rPr>
        <w:t>1. Prof. dr. Munir Mujić, vanredni profesor, predsjednik</w:t>
      </w:r>
    </w:p>
    <w:p w:rsidR="00165613" w:rsidRPr="00DE7FD3" w:rsidRDefault="0016561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165613" w:rsidRPr="00DE7FD3" w:rsidRDefault="0016561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165613" w:rsidRPr="00DE7FD3" w:rsidRDefault="0016561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                                                  </w:t>
      </w:r>
      <w:r w:rsidR="003D6E72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>2. Dr. sc. Dželila Babović, naučni saradnik, član</w:t>
      </w:r>
    </w:p>
    <w:p w:rsidR="00165613" w:rsidRPr="00DE7FD3" w:rsidRDefault="0016561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165613" w:rsidRPr="00DE7FD3" w:rsidRDefault="0016561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165613" w:rsidRPr="00DE7FD3" w:rsidRDefault="00165613" w:rsidP="00DE7FD3">
      <w:pPr>
        <w:tabs>
          <w:tab w:val="left" w:pos="709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DE7FD3">
        <w:rPr>
          <w:rFonts w:asciiTheme="majorBidi" w:hAnsiTheme="majorBidi" w:cstheme="majorBidi"/>
          <w:sz w:val="24"/>
          <w:szCs w:val="24"/>
          <w:lang w:val="bs-Latn-BA"/>
        </w:rPr>
        <w:t xml:space="preserve">                                                   </w:t>
      </w:r>
      <w:r w:rsidR="003D6E72">
        <w:rPr>
          <w:rFonts w:asciiTheme="majorBidi" w:hAnsiTheme="majorBidi" w:cstheme="majorBidi"/>
          <w:sz w:val="24"/>
          <w:szCs w:val="24"/>
          <w:lang w:val="bs-Latn-BA"/>
        </w:rPr>
        <w:t xml:space="preserve">           </w:t>
      </w:r>
      <w:r w:rsidRPr="00DE7FD3">
        <w:rPr>
          <w:rFonts w:asciiTheme="majorBidi" w:hAnsiTheme="majorBidi" w:cstheme="majorBidi"/>
          <w:sz w:val="24"/>
          <w:szCs w:val="24"/>
          <w:lang w:val="bs-Latn-BA"/>
        </w:rPr>
        <w:t>3. Dr. sc. Berin Bajrić, naučni saradnik, član</w:t>
      </w:r>
    </w:p>
    <w:p w:rsidR="00165613" w:rsidRPr="00DE7FD3" w:rsidRDefault="00165613" w:rsidP="00DE7FD3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165613" w:rsidRPr="00DE7F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FC" w:rsidRDefault="004528FC" w:rsidP="00921539">
      <w:pPr>
        <w:spacing w:after="0" w:line="240" w:lineRule="auto"/>
      </w:pPr>
      <w:r>
        <w:separator/>
      </w:r>
    </w:p>
  </w:endnote>
  <w:endnote w:type="continuationSeparator" w:id="0">
    <w:p w:rsidR="004528FC" w:rsidRDefault="004528FC" w:rsidP="0092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179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42A" w:rsidRDefault="00781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142A" w:rsidRDefault="0078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FC" w:rsidRDefault="004528FC" w:rsidP="00921539">
      <w:pPr>
        <w:spacing w:after="0" w:line="240" w:lineRule="auto"/>
      </w:pPr>
      <w:r>
        <w:separator/>
      </w:r>
    </w:p>
  </w:footnote>
  <w:footnote w:type="continuationSeparator" w:id="0">
    <w:p w:rsidR="004528FC" w:rsidRDefault="004528FC" w:rsidP="0092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4899"/>
    <w:multiLevelType w:val="hybridMultilevel"/>
    <w:tmpl w:val="C1405F7E"/>
    <w:lvl w:ilvl="0" w:tplc="AB124CC0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E"/>
    <w:rsid w:val="00084EDD"/>
    <w:rsid w:val="000B302F"/>
    <w:rsid w:val="0010109D"/>
    <w:rsid w:val="00165613"/>
    <w:rsid w:val="00240438"/>
    <w:rsid w:val="00256DEB"/>
    <w:rsid w:val="002B5EFC"/>
    <w:rsid w:val="002E27C4"/>
    <w:rsid w:val="00362944"/>
    <w:rsid w:val="003679DF"/>
    <w:rsid w:val="003B70FC"/>
    <w:rsid w:val="003D6E72"/>
    <w:rsid w:val="00400398"/>
    <w:rsid w:val="0040547A"/>
    <w:rsid w:val="004528FC"/>
    <w:rsid w:val="00476963"/>
    <w:rsid w:val="00482021"/>
    <w:rsid w:val="004C31BA"/>
    <w:rsid w:val="00513B04"/>
    <w:rsid w:val="00541D3A"/>
    <w:rsid w:val="00566CD1"/>
    <w:rsid w:val="0059023E"/>
    <w:rsid w:val="00686749"/>
    <w:rsid w:val="006E0BA9"/>
    <w:rsid w:val="006E592B"/>
    <w:rsid w:val="007242BF"/>
    <w:rsid w:val="0078088E"/>
    <w:rsid w:val="0078142A"/>
    <w:rsid w:val="007E0085"/>
    <w:rsid w:val="008238F3"/>
    <w:rsid w:val="008C550A"/>
    <w:rsid w:val="008C5752"/>
    <w:rsid w:val="008D0189"/>
    <w:rsid w:val="008D27B6"/>
    <w:rsid w:val="00921539"/>
    <w:rsid w:val="009333FB"/>
    <w:rsid w:val="009C2EB0"/>
    <w:rsid w:val="009E61F7"/>
    <w:rsid w:val="009F4A87"/>
    <w:rsid w:val="00A01AEC"/>
    <w:rsid w:val="00A16366"/>
    <w:rsid w:val="00A5057A"/>
    <w:rsid w:val="00A62CDA"/>
    <w:rsid w:val="00B97058"/>
    <w:rsid w:val="00BF0873"/>
    <w:rsid w:val="00C212D6"/>
    <w:rsid w:val="00C37401"/>
    <w:rsid w:val="00C510EE"/>
    <w:rsid w:val="00C95B57"/>
    <w:rsid w:val="00DE7FD3"/>
    <w:rsid w:val="00E12593"/>
    <w:rsid w:val="00E42B3C"/>
    <w:rsid w:val="00E75EE7"/>
    <w:rsid w:val="00EA1024"/>
    <w:rsid w:val="00EC212C"/>
    <w:rsid w:val="00EE2CF7"/>
    <w:rsid w:val="00F3023A"/>
    <w:rsid w:val="00F34AEA"/>
    <w:rsid w:val="00F549D7"/>
    <w:rsid w:val="00F758A8"/>
    <w:rsid w:val="00F964D1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4674C-A7DE-4401-9BFA-F433CC99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70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7058"/>
  </w:style>
  <w:style w:type="paragraph" w:styleId="Header">
    <w:name w:val="header"/>
    <w:basedOn w:val="Normal"/>
    <w:link w:val="HeaderChar"/>
    <w:uiPriority w:val="99"/>
    <w:unhideWhenUsed/>
    <w:rsid w:val="0092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39"/>
  </w:style>
  <w:style w:type="paragraph" w:styleId="Footer">
    <w:name w:val="footer"/>
    <w:basedOn w:val="Normal"/>
    <w:link w:val="FooterChar"/>
    <w:uiPriority w:val="99"/>
    <w:unhideWhenUsed/>
    <w:rsid w:val="0092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39"/>
  </w:style>
  <w:style w:type="paragraph" w:styleId="ListParagraph">
    <w:name w:val="List Paragraph"/>
    <w:basedOn w:val="Normal"/>
    <w:uiPriority w:val="34"/>
    <w:qFormat/>
    <w:rsid w:val="007808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4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8236549-63A7-4D3E-9D54-6953523A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9</Pages>
  <Words>2630</Words>
  <Characters>15813</Characters>
  <Application>Microsoft Office Word</Application>
  <DocSecurity>0</DocSecurity>
  <Lines>385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2018-12-23T18:26:00Z</dcterms:created>
  <dcterms:modified xsi:type="dcterms:W3CDTF">2018-12-27T00:52:00Z</dcterms:modified>
</cp:coreProperties>
</file>